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D30" w:rsidRPr="003B6935" w:rsidRDefault="00BF010A" w:rsidP="003B7D30">
      <w:pPr>
        <w:autoSpaceDE w:val="0"/>
        <w:autoSpaceDN w:val="0"/>
        <w:adjustRightInd w:val="0"/>
        <w:rPr>
          <w:rFonts w:ascii="Arial" w:hAnsi="Arial" w:cs="Arial"/>
          <w:color w:val="000000"/>
          <w:sz w:val="20"/>
          <w:szCs w:val="20"/>
        </w:rPr>
      </w:pPr>
      <w:r>
        <w:rPr>
          <w:rFonts w:ascii="Arial" w:hAnsi="Arial"/>
          <w:color w:val="000000"/>
          <w:sz w:val="20"/>
        </w:rPr>
        <w:t>Casablanca, 6</w:t>
      </w:r>
      <w:r w:rsidR="00F65879">
        <w:rPr>
          <w:rFonts w:ascii="Arial" w:hAnsi="Arial"/>
          <w:color w:val="000000"/>
          <w:sz w:val="20"/>
        </w:rPr>
        <w:t xml:space="preserve"> février</w:t>
      </w:r>
      <w:r w:rsidR="002D6417" w:rsidRPr="003B6935">
        <w:rPr>
          <w:rFonts w:ascii="Arial" w:hAnsi="Arial"/>
          <w:color w:val="000000"/>
          <w:sz w:val="20"/>
        </w:rPr>
        <w:t xml:space="preserve"> </w:t>
      </w:r>
      <w:r w:rsidR="002D6417" w:rsidRPr="00033B36">
        <w:rPr>
          <w:rFonts w:ascii="Arial" w:hAnsi="Arial"/>
          <w:color w:val="000000"/>
          <w:sz w:val="20"/>
        </w:rPr>
        <w:t>2014</w:t>
      </w:r>
    </w:p>
    <w:p w:rsidR="003B7D30" w:rsidRPr="003B6935" w:rsidRDefault="003B7D30" w:rsidP="00BC59CC">
      <w:pPr>
        <w:autoSpaceDE w:val="0"/>
        <w:autoSpaceDN w:val="0"/>
        <w:adjustRightInd w:val="0"/>
        <w:jc w:val="center"/>
        <w:rPr>
          <w:rFonts w:ascii="Arial" w:hAnsi="Arial" w:cs="Arial"/>
          <w:b/>
          <w:bCs/>
          <w:color w:val="000000"/>
          <w:sz w:val="20"/>
          <w:szCs w:val="20"/>
        </w:rPr>
      </w:pPr>
    </w:p>
    <w:p w:rsidR="00E6695E" w:rsidRDefault="00E6695E" w:rsidP="00CE42BE">
      <w:pPr>
        <w:rPr>
          <w:rFonts w:ascii="Arial" w:hAnsi="Arial"/>
          <w:b/>
          <w:color w:val="000000"/>
          <w:sz w:val="26"/>
          <w:u w:color="000000"/>
        </w:rPr>
      </w:pPr>
    </w:p>
    <w:p w:rsidR="00F65879" w:rsidRPr="00A80C8E" w:rsidRDefault="00F65879" w:rsidP="002F112D">
      <w:pPr>
        <w:spacing w:line="300" w:lineRule="exact"/>
        <w:jc w:val="center"/>
        <w:rPr>
          <w:rFonts w:ascii="Arial" w:hAnsi="Arial" w:cs="Arial"/>
          <w:b/>
          <w:bCs/>
          <w:color w:val="000000"/>
          <w:sz w:val="26"/>
          <w:szCs w:val="26"/>
        </w:rPr>
      </w:pPr>
      <w:r w:rsidRPr="00A80C8E">
        <w:rPr>
          <w:rFonts w:ascii="Arial" w:hAnsi="Arial" w:cs="Arial"/>
          <w:b/>
          <w:bCs/>
          <w:color w:val="000000"/>
          <w:sz w:val="26"/>
          <w:szCs w:val="26"/>
        </w:rPr>
        <w:t xml:space="preserve">Coface </w:t>
      </w:r>
      <w:r>
        <w:rPr>
          <w:rFonts w:ascii="Arial" w:hAnsi="Arial" w:cs="Arial"/>
          <w:b/>
          <w:bCs/>
          <w:color w:val="000000"/>
          <w:sz w:val="26"/>
          <w:szCs w:val="26"/>
        </w:rPr>
        <w:t>renforce ses positions en Côte d’Ivoire</w:t>
      </w:r>
    </w:p>
    <w:p w:rsidR="00EC2F0F" w:rsidRPr="003B6935" w:rsidRDefault="00EC2F0F" w:rsidP="00CD3337">
      <w:pPr>
        <w:autoSpaceDE w:val="0"/>
        <w:autoSpaceDN w:val="0"/>
        <w:adjustRightInd w:val="0"/>
        <w:rPr>
          <w:rFonts w:ascii="Arial" w:eastAsia="Arial Unicode MS" w:hAnsi="Arial" w:cs="Arial"/>
          <w:b/>
          <w:color w:val="000000"/>
          <w:sz w:val="26"/>
          <w:szCs w:val="20"/>
          <w:u w:color="000000"/>
        </w:rPr>
      </w:pPr>
    </w:p>
    <w:p w:rsidR="00F65879" w:rsidRDefault="00F65879" w:rsidP="00F65879">
      <w:pPr>
        <w:pStyle w:val="Corpsdetexte"/>
        <w:rPr>
          <w:b/>
          <w:bCs/>
        </w:rPr>
      </w:pPr>
      <w:r w:rsidRPr="00A80C8E">
        <w:rPr>
          <w:b/>
          <w:bCs/>
        </w:rPr>
        <w:t xml:space="preserve">En signant deux accords de partenariats </w:t>
      </w:r>
      <w:r w:rsidR="00BF010A">
        <w:rPr>
          <w:b/>
          <w:bCs/>
        </w:rPr>
        <w:t>avec SG</w:t>
      </w:r>
      <w:r>
        <w:rPr>
          <w:b/>
          <w:bCs/>
        </w:rPr>
        <w:t>CI</w:t>
      </w:r>
      <w:r w:rsidRPr="00A80C8E" w:rsidDel="00DA32A7">
        <w:rPr>
          <w:b/>
          <w:bCs/>
        </w:rPr>
        <w:t xml:space="preserve"> </w:t>
      </w:r>
      <w:r>
        <w:rPr>
          <w:b/>
          <w:bCs/>
        </w:rPr>
        <w:t xml:space="preserve"> (filiale de la </w:t>
      </w:r>
      <w:r w:rsidRPr="006A7280">
        <w:rPr>
          <w:b/>
          <w:bCs/>
        </w:rPr>
        <w:t>Société Générale</w:t>
      </w:r>
      <w:r>
        <w:rPr>
          <w:b/>
          <w:bCs/>
        </w:rPr>
        <w:t>)</w:t>
      </w:r>
      <w:r w:rsidRPr="006A7280">
        <w:rPr>
          <w:b/>
          <w:bCs/>
        </w:rPr>
        <w:t xml:space="preserve"> et BICICI</w:t>
      </w:r>
      <w:r>
        <w:rPr>
          <w:b/>
          <w:bCs/>
        </w:rPr>
        <w:t xml:space="preserve"> (filiale de </w:t>
      </w:r>
      <w:r w:rsidRPr="006A7280">
        <w:rPr>
          <w:b/>
          <w:bCs/>
        </w:rPr>
        <w:t>BNP PARIBAS</w:t>
      </w:r>
      <w:r>
        <w:rPr>
          <w:b/>
          <w:bCs/>
        </w:rPr>
        <w:t xml:space="preserve">), </w:t>
      </w:r>
      <w:r w:rsidRPr="00A80C8E">
        <w:rPr>
          <w:b/>
          <w:bCs/>
        </w:rPr>
        <w:t xml:space="preserve">Coface </w:t>
      </w:r>
      <w:r>
        <w:rPr>
          <w:b/>
          <w:bCs/>
        </w:rPr>
        <w:t>contribue</w:t>
      </w:r>
      <w:r w:rsidRPr="00A80C8E">
        <w:rPr>
          <w:b/>
          <w:bCs/>
        </w:rPr>
        <w:t xml:space="preserve"> à la couverture du risque de crédit </w:t>
      </w:r>
      <w:r>
        <w:rPr>
          <w:b/>
          <w:bCs/>
        </w:rPr>
        <w:t xml:space="preserve">et </w:t>
      </w:r>
      <w:r w:rsidRPr="00A80C8E">
        <w:rPr>
          <w:b/>
          <w:bCs/>
        </w:rPr>
        <w:t>facilite</w:t>
      </w:r>
      <w:r>
        <w:rPr>
          <w:b/>
          <w:bCs/>
        </w:rPr>
        <w:t xml:space="preserve"> aux entreprises ivoiriennes</w:t>
      </w:r>
      <w:r w:rsidRPr="00A80C8E">
        <w:rPr>
          <w:b/>
          <w:bCs/>
        </w:rPr>
        <w:t xml:space="preserve"> l’accès aux </w:t>
      </w:r>
      <w:r>
        <w:rPr>
          <w:b/>
          <w:bCs/>
        </w:rPr>
        <w:t xml:space="preserve">solutions de </w:t>
      </w:r>
      <w:r w:rsidRPr="00A80C8E">
        <w:rPr>
          <w:b/>
          <w:bCs/>
        </w:rPr>
        <w:t>fi</w:t>
      </w:r>
      <w:r>
        <w:rPr>
          <w:b/>
          <w:bCs/>
        </w:rPr>
        <w:t>nancement</w:t>
      </w:r>
      <w:r w:rsidRPr="00A80C8E">
        <w:rPr>
          <w:b/>
          <w:bCs/>
        </w:rPr>
        <w:t xml:space="preserve"> </w:t>
      </w:r>
      <w:r>
        <w:rPr>
          <w:b/>
          <w:bCs/>
        </w:rPr>
        <w:t>et</w:t>
      </w:r>
      <w:r w:rsidRPr="00A80C8E">
        <w:rPr>
          <w:b/>
          <w:bCs/>
        </w:rPr>
        <w:t xml:space="preserve"> de</w:t>
      </w:r>
      <w:r>
        <w:rPr>
          <w:b/>
          <w:bCs/>
        </w:rPr>
        <w:t xml:space="preserve"> gestion</w:t>
      </w:r>
      <w:r w:rsidRPr="00A80C8E">
        <w:rPr>
          <w:b/>
          <w:bCs/>
        </w:rPr>
        <w:t xml:space="preserve"> de créances proposé</w:t>
      </w:r>
      <w:r>
        <w:rPr>
          <w:b/>
          <w:bCs/>
        </w:rPr>
        <w:t>e</w:t>
      </w:r>
      <w:r w:rsidRPr="00A80C8E">
        <w:rPr>
          <w:b/>
          <w:bCs/>
        </w:rPr>
        <w:t xml:space="preserve">s par </w:t>
      </w:r>
      <w:r>
        <w:rPr>
          <w:b/>
          <w:bCs/>
        </w:rPr>
        <w:t>ces</w:t>
      </w:r>
      <w:r w:rsidRPr="00A80C8E">
        <w:rPr>
          <w:b/>
          <w:bCs/>
        </w:rPr>
        <w:t xml:space="preserve"> banques (affacturage sans recours)</w:t>
      </w:r>
      <w:r>
        <w:rPr>
          <w:b/>
          <w:bCs/>
        </w:rPr>
        <w:t>.</w:t>
      </w:r>
    </w:p>
    <w:p w:rsidR="00BF6644" w:rsidRPr="002F112D" w:rsidRDefault="00BF6644" w:rsidP="00CB1F31">
      <w:pPr>
        <w:suppressAutoHyphens/>
        <w:autoSpaceDE w:val="0"/>
        <w:autoSpaceDN w:val="0"/>
        <w:adjustRightInd w:val="0"/>
        <w:spacing w:line="270" w:lineRule="atLeast"/>
        <w:jc w:val="both"/>
        <w:rPr>
          <w:rFonts w:ascii="Arial" w:hAnsi="Arial"/>
          <w:sz w:val="20"/>
        </w:rPr>
      </w:pPr>
    </w:p>
    <w:p w:rsidR="00F65879" w:rsidRPr="002F112D" w:rsidRDefault="00F65879" w:rsidP="00CD3337">
      <w:pPr>
        <w:spacing w:line="276" w:lineRule="auto"/>
        <w:jc w:val="both"/>
        <w:rPr>
          <w:rFonts w:ascii="Arial" w:hAnsi="Arial"/>
          <w:sz w:val="20"/>
        </w:rPr>
      </w:pPr>
      <w:r w:rsidRPr="002F112D">
        <w:rPr>
          <w:rFonts w:ascii="Arial" w:hAnsi="Arial"/>
          <w:sz w:val="20"/>
        </w:rPr>
        <w:t>Signés respectivement en Octobre et Novembre 2013, ces accords entrent en vigueur dans un contexte plus favorable pour la Côte d’ Ivoire, reclassée C lors des dernières évaluations Risque Pays de Coface.</w:t>
      </w:r>
    </w:p>
    <w:p w:rsidR="00F65879" w:rsidRPr="002F112D" w:rsidRDefault="00F65879" w:rsidP="00CD3337">
      <w:pPr>
        <w:spacing w:line="276" w:lineRule="auto"/>
        <w:jc w:val="both"/>
        <w:rPr>
          <w:rFonts w:ascii="Arial" w:hAnsi="Arial"/>
          <w:sz w:val="20"/>
        </w:rPr>
      </w:pPr>
    </w:p>
    <w:p w:rsidR="00F65879" w:rsidRPr="002F112D" w:rsidRDefault="007E253C" w:rsidP="00CD3337">
      <w:pPr>
        <w:spacing w:line="276" w:lineRule="auto"/>
        <w:jc w:val="both"/>
        <w:rPr>
          <w:rFonts w:ascii="Arial" w:hAnsi="Arial"/>
          <w:sz w:val="20"/>
        </w:rPr>
      </w:pPr>
      <w:r>
        <w:rPr>
          <w:rFonts w:ascii="Arial" w:hAnsi="Arial"/>
          <w:sz w:val="20"/>
        </w:rPr>
        <w:t>Ces nouveaux partenariats</w:t>
      </w:r>
      <w:r w:rsidR="00F65879" w:rsidRPr="002F112D">
        <w:rPr>
          <w:rFonts w:ascii="Arial" w:hAnsi="Arial"/>
          <w:sz w:val="20"/>
        </w:rPr>
        <w:t xml:space="preserve"> viennent s'ajouter à ceux existants au Cameroun BICEC (filial</w:t>
      </w:r>
      <w:r w:rsidR="00BF010A">
        <w:rPr>
          <w:rFonts w:ascii="Arial" w:hAnsi="Arial"/>
          <w:sz w:val="20"/>
        </w:rPr>
        <w:t>e des banques Populaires) et SG</w:t>
      </w:r>
      <w:r w:rsidR="00F65879" w:rsidRPr="002F112D">
        <w:rPr>
          <w:rFonts w:ascii="Arial" w:hAnsi="Arial"/>
          <w:sz w:val="20"/>
        </w:rPr>
        <w:t xml:space="preserve">C (filiale de la Société Générale), </w:t>
      </w:r>
      <w:r w:rsidR="00BF010A">
        <w:rPr>
          <w:rFonts w:ascii="Arial" w:hAnsi="Arial"/>
          <w:sz w:val="20"/>
        </w:rPr>
        <w:t>au Gabon BGFI Bank, au Ghana SG</w:t>
      </w:r>
      <w:r w:rsidR="00F65879" w:rsidRPr="002F112D">
        <w:rPr>
          <w:rFonts w:ascii="Arial" w:hAnsi="Arial"/>
          <w:sz w:val="20"/>
        </w:rPr>
        <w:t>G (filiale de la Société Générale) au Sénégal BICIS et au Maroc BMCI (toutes deux filiales de BNP PARIBAS). Coface complète ainsi son dispositif en Afrique de l’Ouest et garanti</w:t>
      </w:r>
      <w:r w:rsidR="00BF010A">
        <w:rPr>
          <w:rFonts w:ascii="Arial" w:hAnsi="Arial"/>
          <w:sz w:val="20"/>
        </w:rPr>
        <w:t>t</w:t>
      </w:r>
      <w:r w:rsidR="00F65879" w:rsidRPr="002F112D">
        <w:rPr>
          <w:rFonts w:ascii="Arial" w:hAnsi="Arial"/>
          <w:sz w:val="20"/>
        </w:rPr>
        <w:t xml:space="preserve"> maintenant les transactions commerciales avec des représentations directes et partenariats dans 11 pays.</w:t>
      </w:r>
    </w:p>
    <w:p w:rsidR="00F65879" w:rsidRPr="002F112D" w:rsidRDefault="00F65879" w:rsidP="00F65879">
      <w:pPr>
        <w:spacing w:line="270" w:lineRule="exact"/>
        <w:jc w:val="both"/>
        <w:rPr>
          <w:rFonts w:ascii="Arial" w:hAnsi="Arial"/>
          <w:sz w:val="20"/>
        </w:rPr>
      </w:pPr>
    </w:p>
    <w:p w:rsidR="00D812B8" w:rsidRPr="002F112D" w:rsidRDefault="00F65879" w:rsidP="00F65879">
      <w:pPr>
        <w:pStyle w:val="Corpsdetexte"/>
        <w:rPr>
          <w:rFonts w:eastAsia="MS Mincho"/>
          <w:bCs/>
          <w:i/>
        </w:rPr>
      </w:pPr>
      <w:r w:rsidRPr="002F112D">
        <w:rPr>
          <w:rFonts w:eastAsia="MS Mincho"/>
          <w:bCs/>
          <w:i/>
        </w:rPr>
        <w:t xml:space="preserve">Jean-Christophe </w:t>
      </w:r>
      <w:proofErr w:type="spellStart"/>
      <w:r w:rsidRPr="002F112D">
        <w:rPr>
          <w:rFonts w:eastAsia="MS Mincho"/>
          <w:bCs/>
          <w:i/>
        </w:rPr>
        <w:t>Batlle</w:t>
      </w:r>
      <w:proofErr w:type="spellEnd"/>
      <w:r w:rsidRPr="002F112D">
        <w:rPr>
          <w:rFonts w:eastAsia="MS Mincho"/>
          <w:bCs/>
          <w:i/>
        </w:rPr>
        <w:t>, directeur-adjoint de la Région Méditerranée, Afrique et Moyen Orient, a déclaré : « Nous sommes le seul assureur-crédit directement présent en Côte d’Ivoire capable de proposer avec ses</w:t>
      </w:r>
      <w:bookmarkStart w:id="0" w:name="_GoBack"/>
      <w:bookmarkEnd w:id="0"/>
      <w:r w:rsidRPr="002F112D">
        <w:rPr>
          <w:rFonts w:eastAsia="MS Mincho"/>
          <w:bCs/>
          <w:i/>
        </w:rPr>
        <w:t xml:space="preserve"> partenaires bancaires et AXA Assurances une offre de couverture du risque de crédit. Ces nouveaux partenariats marquent une étape supplémentaire dans l’accompagnement du développement des entreprises, qui évoluent dans une région commercialement dynamique, offrant un important potentiel de croissance. » </w:t>
      </w:r>
    </w:p>
    <w:tbl>
      <w:tblPr>
        <w:tblW w:w="8540" w:type="dxa"/>
        <w:tblLayout w:type="fixed"/>
        <w:tblLook w:val="0000"/>
      </w:tblPr>
      <w:tblGrid>
        <w:gridCol w:w="8540"/>
      </w:tblGrid>
      <w:tr w:rsidR="00F43799" w:rsidRPr="0067642B" w:rsidTr="000D3B04">
        <w:trPr>
          <w:cantSplit/>
          <w:trHeight w:val="340"/>
        </w:trPr>
        <w:tc>
          <w:tcPr>
            <w:tcW w:w="8540" w:type="dxa"/>
            <w:tcBorders>
              <w:top w:val="none" w:sz="8" w:space="0" w:color="000000"/>
              <w:left w:val="none" w:sz="8" w:space="0" w:color="000000"/>
              <w:bottom w:val="none" w:sz="8" w:space="0" w:color="000000"/>
              <w:right w:val="none" w:sz="8" w:space="0" w:color="000000"/>
            </w:tcBorders>
            <w:tcMar>
              <w:top w:w="80" w:type="dxa"/>
              <w:left w:w="0" w:type="dxa"/>
              <w:bottom w:w="80" w:type="dxa"/>
              <w:right w:w="0" w:type="dxa"/>
            </w:tcMar>
          </w:tcPr>
          <w:p w:rsidR="00F43799" w:rsidRPr="002F112D" w:rsidRDefault="00F43799" w:rsidP="000D3B04">
            <w:pPr>
              <w:tabs>
                <w:tab w:val="center" w:pos="4536"/>
                <w:tab w:val="right" w:pos="9072"/>
              </w:tabs>
              <w:spacing w:line="270" w:lineRule="exact"/>
              <w:outlineLvl w:val="0"/>
              <w:rPr>
                <w:rFonts w:ascii="Arial" w:eastAsia="Arial Unicode MS" w:hAnsi="Arial" w:cs="Arial"/>
                <w:color w:val="000000"/>
                <w:sz w:val="18"/>
                <w:u w:color="000000"/>
              </w:rPr>
            </w:pPr>
          </w:p>
          <w:p w:rsidR="00F43799" w:rsidRPr="002F112D" w:rsidRDefault="00F43799" w:rsidP="000D3B04">
            <w:pPr>
              <w:tabs>
                <w:tab w:val="center" w:pos="4536"/>
                <w:tab w:val="right" w:pos="9072"/>
              </w:tabs>
              <w:spacing w:line="270" w:lineRule="exact"/>
              <w:outlineLvl w:val="0"/>
              <w:rPr>
                <w:rFonts w:ascii="Arial" w:eastAsia="Arial Unicode MS" w:hAnsi="Arial" w:cs="Arial"/>
                <w:color w:val="000000"/>
                <w:sz w:val="18"/>
                <w:u w:color="000000"/>
              </w:rPr>
            </w:pPr>
            <w:r w:rsidRPr="002F112D">
              <w:rPr>
                <w:rFonts w:ascii="Arial" w:eastAsia="Arial Unicode MS" w:hAnsi="Arial" w:cs="Arial"/>
                <w:color w:val="000000"/>
                <w:sz w:val="18"/>
                <w:u w:color="000000"/>
              </w:rPr>
              <w:t xml:space="preserve">CONTACT MEDIA: </w:t>
            </w:r>
          </w:p>
          <w:p w:rsidR="00F43799" w:rsidRPr="002F112D" w:rsidRDefault="0044608F" w:rsidP="0044608F">
            <w:pPr>
              <w:tabs>
                <w:tab w:val="center" w:pos="4536"/>
                <w:tab w:val="right" w:pos="9072"/>
              </w:tabs>
              <w:spacing w:line="270" w:lineRule="exact"/>
              <w:outlineLvl w:val="0"/>
              <w:rPr>
                <w:rFonts w:ascii="Arial" w:eastAsia="Arial Unicode MS" w:hAnsi="Arial" w:cs="Arial"/>
                <w:color w:val="000000"/>
                <w:sz w:val="18"/>
                <w:u w:color="000000"/>
              </w:rPr>
            </w:pPr>
            <w:r w:rsidRPr="002F112D">
              <w:rPr>
                <w:rFonts w:ascii="Arial" w:eastAsia="Arial Unicode MS" w:hAnsi="Arial" w:cs="Arial"/>
                <w:color w:val="000000"/>
                <w:sz w:val="18"/>
                <w:u w:color="000000"/>
              </w:rPr>
              <w:t>Anne-Laure NORMANDIN</w:t>
            </w:r>
            <w:r w:rsidR="00F43799" w:rsidRPr="002F112D">
              <w:rPr>
                <w:rFonts w:ascii="Arial" w:eastAsia="Arial Unicode MS" w:hAnsi="Arial" w:cs="Arial"/>
                <w:color w:val="000000"/>
                <w:sz w:val="18"/>
                <w:u w:color="000000"/>
              </w:rPr>
              <w:t xml:space="preserve"> -  T. +</w:t>
            </w:r>
            <w:r w:rsidRPr="002F112D">
              <w:rPr>
                <w:rFonts w:ascii="Arial" w:eastAsia="Arial Unicode MS" w:hAnsi="Arial" w:cs="Arial"/>
                <w:color w:val="000000"/>
                <w:sz w:val="18"/>
                <w:u w:color="000000"/>
              </w:rPr>
              <w:t>212 661 41 25 79</w:t>
            </w:r>
            <w:r w:rsidR="00F43799" w:rsidRPr="002F112D">
              <w:rPr>
                <w:rFonts w:ascii="Arial" w:eastAsia="Arial Unicode MS" w:hAnsi="Arial" w:cs="Arial"/>
                <w:color w:val="000000"/>
                <w:sz w:val="18"/>
                <w:u w:color="000000"/>
              </w:rPr>
              <w:t xml:space="preserve">  </w:t>
            </w:r>
            <w:hyperlink r:id="rId8" w:history="1">
              <w:r w:rsidRPr="002F112D">
                <w:rPr>
                  <w:rStyle w:val="Lienhypertexte"/>
                  <w:rFonts w:ascii="Arial" w:eastAsia="Arial Unicode MS" w:hAnsi="Arial" w:cs="Arial"/>
                  <w:sz w:val="18"/>
                </w:rPr>
                <w:t>annelaure.normandin@coface.com</w:t>
              </w:r>
            </w:hyperlink>
          </w:p>
        </w:tc>
      </w:tr>
    </w:tbl>
    <w:p w:rsidR="00F43799" w:rsidRDefault="00F43799" w:rsidP="00F43799">
      <w:pPr>
        <w:pStyle w:val="Body1"/>
        <w:spacing w:line="270" w:lineRule="exact"/>
        <w:jc w:val="both"/>
        <w:rPr>
          <w:rFonts w:ascii="Arial" w:hAnsi="Arial"/>
        </w:rPr>
      </w:pPr>
    </w:p>
    <w:tbl>
      <w:tblPr>
        <w:tblW w:w="8540" w:type="dxa"/>
        <w:jc w:val="center"/>
        <w:tblInd w:w="1950" w:type="dxa"/>
        <w:tblLayout w:type="fixed"/>
        <w:tblCellMar>
          <w:left w:w="0" w:type="dxa"/>
          <w:right w:w="0" w:type="dxa"/>
        </w:tblCellMar>
        <w:tblLook w:val="00A0"/>
      </w:tblPr>
      <w:tblGrid>
        <w:gridCol w:w="8540"/>
      </w:tblGrid>
      <w:tr w:rsidR="00F43799" w:rsidRPr="00E57760" w:rsidTr="000D3B04">
        <w:trPr>
          <w:trHeight w:val="220"/>
          <w:jc w:val="center"/>
        </w:trPr>
        <w:tc>
          <w:tcPr>
            <w:tcW w:w="8540" w:type="dxa"/>
            <w:shd w:val="clear" w:color="auto" w:fill="E9EDF4"/>
          </w:tcPr>
          <w:p w:rsidR="00F43799" w:rsidRPr="00E57760" w:rsidRDefault="00F43799" w:rsidP="000D3B04">
            <w:pPr>
              <w:spacing w:before="60" w:after="60" w:line="220" w:lineRule="atLeast"/>
              <w:ind w:left="113" w:right="113"/>
              <w:jc w:val="both"/>
              <w:rPr>
                <w:rFonts w:ascii="Arial" w:hAnsi="Arial" w:cs="Arial"/>
                <w:b/>
                <w:sz w:val="18"/>
                <w:szCs w:val="18"/>
              </w:rPr>
            </w:pPr>
            <w:r w:rsidRPr="00E57760">
              <w:rPr>
                <w:rFonts w:ascii="Arial" w:hAnsi="Arial" w:cs="Arial"/>
                <w:b/>
                <w:sz w:val="18"/>
                <w:szCs w:val="18"/>
              </w:rPr>
              <w:t>A propos de Coface</w:t>
            </w:r>
          </w:p>
          <w:p w:rsidR="00F43799" w:rsidRPr="00E57760" w:rsidRDefault="00F43799" w:rsidP="000D3B04">
            <w:pPr>
              <w:spacing w:line="240" w:lineRule="atLeast"/>
              <w:ind w:left="142" w:right="141"/>
              <w:jc w:val="both"/>
              <w:rPr>
                <w:rFonts w:ascii="Arial" w:hAnsi="Arial" w:cs="Arial"/>
                <w:sz w:val="18"/>
                <w:szCs w:val="18"/>
              </w:rPr>
            </w:pPr>
            <w:r w:rsidRPr="00E57760">
              <w:rPr>
                <w:rFonts w:ascii="Arial" w:hAnsi="Arial" w:cs="Arial"/>
                <w:sz w:val="18"/>
                <w:szCs w:val="18"/>
              </w:rPr>
              <w:t>Le groupe Coface, un leader mondial de l'assurance-crédit, propose aux entreprises du monde entier des solutions pour les protéger contre le risque de défaillance financière de leurs clients, sur leur marché domestique et à l’export. En 2012, le Groupe a enregistré un chiffre d’affaires consolidé de 1,6 milliard d’euros. Ses 4 400 collaborateurs assurent un service de proximité dans 66 pays. Chaque trimestre, Coface publie son évaluation du risque pays dans 158 pays, en s'appuyant sur sa connaissance unique du comportement de paiement des entreprises et sur l'expertise de ses 350 arbitres localisés au plus près des clients et de leurs débiteurs.</w:t>
            </w:r>
          </w:p>
          <w:p w:rsidR="00F43799" w:rsidRPr="00E57760" w:rsidRDefault="00F43799" w:rsidP="000D3B04">
            <w:pPr>
              <w:spacing w:line="240" w:lineRule="atLeast"/>
              <w:ind w:left="142" w:right="141"/>
              <w:jc w:val="both"/>
              <w:rPr>
                <w:rFonts w:ascii="Arial" w:hAnsi="Arial" w:cs="Arial"/>
                <w:sz w:val="18"/>
                <w:szCs w:val="18"/>
              </w:rPr>
            </w:pPr>
            <w:r w:rsidRPr="00E57760">
              <w:rPr>
                <w:rFonts w:ascii="Arial" w:hAnsi="Arial" w:cs="Arial"/>
                <w:sz w:val="18"/>
                <w:szCs w:val="18"/>
              </w:rPr>
              <w:t xml:space="preserve">En France, le Groupe gère également  les garanties publiques à l'exportation pour le compte de l'Etat. </w:t>
            </w:r>
          </w:p>
          <w:p w:rsidR="00F43799" w:rsidRPr="00E57760" w:rsidRDefault="00F43799" w:rsidP="000D3B04">
            <w:pPr>
              <w:spacing w:line="240" w:lineRule="atLeast"/>
              <w:ind w:left="142" w:right="141"/>
              <w:jc w:val="both"/>
              <w:rPr>
                <w:rFonts w:ascii="Arial" w:hAnsi="Arial" w:cs="Arial"/>
                <w:sz w:val="18"/>
                <w:szCs w:val="18"/>
              </w:rPr>
            </w:pPr>
            <w:r w:rsidRPr="00E57760">
              <w:rPr>
                <w:rFonts w:ascii="Arial" w:hAnsi="Arial" w:cs="Arial"/>
                <w:sz w:val="18"/>
                <w:szCs w:val="18"/>
              </w:rPr>
              <w:t xml:space="preserve">Coface est filiale de </w:t>
            </w:r>
            <w:proofErr w:type="spellStart"/>
            <w:r w:rsidRPr="00E57760">
              <w:rPr>
                <w:rFonts w:ascii="Arial" w:hAnsi="Arial" w:cs="Arial"/>
                <w:sz w:val="18"/>
                <w:szCs w:val="18"/>
              </w:rPr>
              <w:t>Natixis</w:t>
            </w:r>
            <w:proofErr w:type="spellEnd"/>
            <w:r w:rsidRPr="00E57760">
              <w:rPr>
                <w:rFonts w:ascii="Arial" w:hAnsi="Arial" w:cs="Arial"/>
                <w:sz w:val="18"/>
                <w:szCs w:val="18"/>
              </w:rPr>
              <w:t>, banque de financement, de gestion et de services financiers du Groupe BPCE.</w:t>
            </w:r>
          </w:p>
          <w:p w:rsidR="00F43799" w:rsidRPr="00E57760" w:rsidRDefault="00393548" w:rsidP="000D3B04">
            <w:pPr>
              <w:spacing w:before="60" w:after="60" w:line="240" w:lineRule="atLeast"/>
              <w:ind w:right="113"/>
              <w:jc w:val="center"/>
              <w:rPr>
                <w:rFonts w:ascii="Arial" w:hAnsi="Arial" w:cs="Arial"/>
                <w:sz w:val="18"/>
                <w:szCs w:val="18"/>
                <w:u w:val="single"/>
              </w:rPr>
            </w:pPr>
            <w:hyperlink r:id="rId9" w:tooltip="blocked::http://www.coface.fr/" w:history="1">
              <w:r w:rsidR="00F43799" w:rsidRPr="00E57760">
                <w:rPr>
                  <w:rFonts w:ascii="Arial" w:hAnsi="Arial" w:cs="Arial"/>
                  <w:sz w:val="18"/>
                  <w:szCs w:val="18"/>
                  <w:u w:val="single"/>
                </w:rPr>
                <w:t>www.coface.fr</w:t>
              </w:r>
            </w:hyperlink>
          </w:p>
        </w:tc>
      </w:tr>
    </w:tbl>
    <w:p w:rsidR="00E6695E" w:rsidRPr="003B6935" w:rsidRDefault="00E6695E" w:rsidP="009D7001">
      <w:pPr>
        <w:rPr>
          <w:rFonts w:ascii="Arial" w:eastAsia="Arial Unicode MS" w:hAnsi="Arial" w:cs="Times New Roman"/>
          <w:b/>
          <w:color w:val="1F497D"/>
          <w:sz w:val="28"/>
          <w:szCs w:val="28"/>
          <w:u w:color="000000"/>
        </w:rPr>
      </w:pPr>
    </w:p>
    <w:sectPr w:rsidR="00E6695E" w:rsidRPr="003B6935" w:rsidSect="006E5807">
      <w:headerReference w:type="default" r:id="rId10"/>
      <w:pgSz w:w="11900" w:h="16840"/>
      <w:pgMar w:top="1417" w:right="1361" w:bottom="1417" w:left="2155" w:header="3062"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80F" w:rsidRDefault="0027180F" w:rsidP="00D67F85">
      <w:pPr>
        <w:rPr>
          <w:rFonts w:cs="Times New Roman"/>
        </w:rPr>
      </w:pPr>
      <w:r>
        <w:rPr>
          <w:rFonts w:cs="Times New Roman"/>
        </w:rPr>
        <w:separator/>
      </w:r>
    </w:p>
  </w:endnote>
  <w:endnote w:type="continuationSeparator" w:id="0">
    <w:p w:rsidR="0027180F" w:rsidRDefault="0027180F" w:rsidP="00D67F8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Helvetica">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80F" w:rsidRDefault="0027180F" w:rsidP="00D67F85">
      <w:pPr>
        <w:rPr>
          <w:rFonts w:cs="Times New Roman"/>
        </w:rPr>
      </w:pPr>
      <w:r>
        <w:rPr>
          <w:rFonts w:cs="Times New Roman"/>
        </w:rPr>
        <w:separator/>
      </w:r>
    </w:p>
  </w:footnote>
  <w:footnote w:type="continuationSeparator" w:id="0">
    <w:p w:rsidR="0027180F" w:rsidRDefault="0027180F" w:rsidP="00D67F85">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1B9" w:rsidRDefault="00393548">
    <w:pPr>
      <w:pStyle w:val="En-tte"/>
      <w:rPr>
        <w:rFonts w:cs="Times New Roman"/>
      </w:rPr>
    </w:pPr>
    <w:r>
      <w:rPr>
        <w:rFonts w:cs="Times New Roman"/>
        <w:noProof/>
        <w:lang w:bidi="ar-SA"/>
      </w:rPr>
      <w:pict>
        <v:shapetype id="_x0000_t202" coordsize="21600,21600" o:spt="202" path="m,l,21600r21600,l21600,xe">
          <v:stroke joinstyle="miter"/>
          <v:path gradientshapeok="t" o:connecttype="rect"/>
        </v:shapetype>
        <v:shape id="Zone de texte 5" o:spid="_x0000_s4098" type="#_x0000_t202" style="position:absolute;margin-left:1.4pt;margin-top:124.4pt;width:453.2pt;height:26.05pt;z-index:-25165209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" filled="f" stroked="f">
          <v:path arrowok="t"/>
          <v:textbox inset="0,,0,0">
            <w:txbxContent>
              <w:p w:rsidR="00F43799" w:rsidRPr="00C0461B" w:rsidRDefault="00F43799" w:rsidP="00F43799">
                <w:pPr>
                  <w:spacing w:line="270" w:lineRule="exact"/>
                  <w:rPr>
                    <w:rFonts w:ascii="Arial" w:hAnsi="Arial" w:cs="Arial"/>
                    <w:b/>
                    <w:bCs/>
                    <w:color w:val="4FA76E"/>
                    <w:spacing w:val="260"/>
                    <w:sz w:val="26"/>
                    <w:szCs w:val="26"/>
                  </w:rPr>
                </w:pPr>
                <w:r w:rsidRPr="00C0461B">
                  <w:rPr>
                    <w:rFonts w:ascii="Arial" w:hAnsi="Arial" w:cs="Arial"/>
                    <w:b/>
                    <w:bCs/>
                    <w:color w:val="4FA76E"/>
                    <w:spacing w:val="260"/>
                    <w:sz w:val="26"/>
                    <w:szCs w:val="26"/>
                  </w:rPr>
                  <w:t>COMMUNIQUE DE PRESSE</w:t>
                </w:r>
              </w:p>
            </w:txbxContent>
          </v:textbox>
          <w10:wrap anchory="page"/>
        </v:shape>
      </w:pict>
    </w:r>
    <w:r w:rsidR="004141B9">
      <w:rPr>
        <w:noProof/>
        <w:lang w:bidi="ar-SA"/>
      </w:rPr>
      <w:drawing>
        <wp:anchor distT="0" distB="0" distL="114300" distR="114300" simplePos="0" relativeHeight="251660288" behindDoc="1" locked="0" layoutInCell="1" allowOverlap="1">
          <wp:simplePos x="0" y="0"/>
          <wp:positionH relativeFrom="column">
            <wp:posOffset>-458470</wp:posOffset>
          </wp:positionH>
          <wp:positionV relativeFrom="page">
            <wp:posOffset>585470</wp:posOffset>
          </wp:positionV>
          <wp:extent cx="5762625" cy="1316355"/>
          <wp:effectExtent l="0" t="0" r="0" b="0"/>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1316355"/>
                  </a:xfrm>
                  <a:prstGeom prst="rect">
                    <a:avLst/>
                  </a:prstGeom>
                  <a:noFill/>
                </pic:spPr>
              </pic:pic>
            </a:graphicData>
          </a:graphic>
        </wp:anchor>
      </w:drawing>
    </w:r>
    <w:r w:rsidRPr="00393548">
      <w:rPr>
        <w:noProof/>
        <w:lang w:bidi="ar-SA"/>
      </w:rPr>
      <w:pict>
        <v:line id="Connecteur droit 25" o:spid="_x0000_s4097" style="position:absolute;z-index:251662336;visibility:visible;mso-wrap-distance-top:-6e-5mm;mso-wrap-distance-bottom:-6e-5mm;mso-position-horizontal-relative:page;mso-position-vertical-relative:page" from="8.5pt,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" strokecolor="#17274b" strokeweight=".3pt">
          <o:lock v:ext="edit" shapetype="f"/>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C03C2"/>
    <w:multiLevelType w:val="hybridMultilevel"/>
    <w:tmpl w:val="D0D62D00"/>
    <w:lvl w:ilvl="0" w:tplc="C4A8D69C">
      <w:start w:val="1"/>
      <w:numFmt w:val="upperLetter"/>
      <w:lvlText w:val="%1."/>
      <w:lvlJc w:val="left"/>
      <w:pPr>
        <w:ind w:left="360" w:hanging="360"/>
      </w:pPr>
      <w:rPr>
        <w:rFonts w:hint="default"/>
        <w:b/>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50B17AC"/>
    <w:multiLevelType w:val="hybridMultilevel"/>
    <w:tmpl w:val="5EAEA9E2"/>
    <w:lvl w:ilvl="0" w:tplc="040C000F">
      <w:start w:val="1"/>
      <w:numFmt w:val="decimal"/>
      <w:lvlText w:val="%1."/>
      <w:lvlJc w:val="left"/>
      <w:pPr>
        <w:tabs>
          <w:tab w:val="num" w:pos="720"/>
        </w:tabs>
        <w:ind w:left="720" w:hanging="360"/>
      </w:pPr>
    </w:lvl>
    <w:lvl w:ilvl="1" w:tplc="C1EE4F42">
      <w:start w:val="1"/>
      <w:numFmt w:val="lowerLetter"/>
      <w:lvlText w:val="%2."/>
      <w:lvlJc w:val="left"/>
      <w:pPr>
        <w:tabs>
          <w:tab w:val="num" w:pos="1440"/>
        </w:tabs>
        <w:ind w:left="1440" w:hanging="360"/>
      </w:pPr>
      <w:rPr>
        <w:b/>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71D65F04"/>
    <w:multiLevelType w:val="hybridMultilevel"/>
    <w:tmpl w:val="8E666BD6"/>
    <w:lvl w:ilvl="0" w:tplc="748E07D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2A2416"/>
    <w:multiLevelType w:val="hybridMultilevel"/>
    <w:tmpl w:val="16FAE370"/>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CB749E"/>
    <w:rsid w:val="00012457"/>
    <w:rsid w:val="00033B36"/>
    <w:rsid w:val="00035F20"/>
    <w:rsid w:val="0004530D"/>
    <w:rsid w:val="000669D3"/>
    <w:rsid w:val="0007334E"/>
    <w:rsid w:val="00076F37"/>
    <w:rsid w:val="00083869"/>
    <w:rsid w:val="00092808"/>
    <w:rsid w:val="000A4DF8"/>
    <w:rsid w:val="000A4E77"/>
    <w:rsid w:val="000D1152"/>
    <w:rsid w:val="000E092E"/>
    <w:rsid w:val="000F6882"/>
    <w:rsid w:val="00120F5B"/>
    <w:rsid w:val="00142D8F"/>
    <w:rsid w:val="00147F22"/>
    <w:rsid w:val="00176258"/>
    <w:rsid w:val="00176504"/>
    <w:rsid w:val="001949F5"/>
    <w:rsid w:val="001A5F89"/>
    <w:rsid w:val="001B3C20"/>
    <w:rsid w:val="001D36ED"/>
    <w:rsid w:val="00202E35"/>
    <w:rsid w:val="00253B32"/>
    <w:rsid w:val="002560E9"/>
    <w:rsid w:val="0027180F"/>
    <w:rsid w:val="00274116"/>
    <w:rsid w:val="00274FB0"/>
    <w:rsid w:val="00282C60"/>
    <w:rsid w:val="002A0A8A"/>
    <w:rsid w:val="002A4ABA"/>
    <w:rsid w:val="002B0041"/>
    <w:rsid w:val="002B06FB"/>
    <w:rsid w:val="002B50DA"/>
    <w:rsid w:val="002D6417"/>
    <w:rsid w:val="002E73D8"/>
    <w:rsid w:val="002F112D"/>
    <w:rsid w:val="002F1C9C"/>
    <w:rsid w:val="00307786"/>
    <w:rsid w:val="00310949"/>
    <w:rsid w:val="00310F76"/>
    <w:rsid w:val="0033160B"/>
    <w:rsid w:val="00360CEA"/>
    <w:rsid w:val="00361C08"/>
    <w:rsid w:val="00364EA9"/>
    <w:rsid w:val="00385956"/>
    <w:rsid w:val="00393548"/>
    <w:rsid w:val="003A7718"/>
    <w:rsid w:val="003B0A21"/>
    <w:rsid w:val="003B6935"/>
    <w:rsid w:val="003B7B1A"/>
    <w:rsid w:val="003B7D30"/>
    <w:rsid w:val="003C5B41"/>
    <w:rsid w:val="003D4852"/>
    <w:rsid w:val="00411DDA"/>
    <w:rsid w:val="00413182"/>
    <w:rsid w:val="004141B9"/>
    <w:rsid w:val="00422B4C"/>
    <w:rsid w:val="00424283"/>
    <w:rsid w:val="00426CEE"/>
    <w:rsid w:val="0043351C"/>
    <w:rsid w:val="00436791"/>
    <w:rsid w:val="00436AFA"/>
    <w:rsid w:val="00442078"/>
    <w:rsid w:val="00443659"/>
    <w:rsid w:val="0044608F"/>
    <w:rsid w:val="004570F3"/>
    <w:rsid w:val="00457717"/>
    <w:rsid w:val="004608F9"/>
    <w:rsid w:val="00461F44"/>
    <w:rsid w:val="00465CF5"/>
    <w:rsid w:val="004867D6"/>
    <w:rsid w:val="004929A7"/>
    <w:rsid w:val="00496DC6"/>
    <w:rsid w:val="004D3FF0"/>
    <w:rsid w:val="004D4B93"/>
    <w:rsid w:val="004F131D"/>
    <w:rsid w:val="00515601"/>
    <w:rsid w:val="00536DE6"/>
    <w:rsid w:val="00537D67"/>
    <w:rsid w:val="00554B32"/>
    <w:rsid w:val="00576DF5"/>
    <w:rsid w:val="00583C85"/>
    <w:rsid w:val="005B2494"/>
    <w:rsid w:val="005D74B2"/>
    <w:rsid w:val="005E1C0A"/>
    <w:rsid w:val="005F6219"/>
    <w:rsid w:val="00617F8A"/>
    <w:rsid w:val="00631DAC"/>
    <w:rsid w:val="00640D6F"/>
    <w:rsid w:val="006717AF"/>
    <w:rsid w:val="00671A77"/>
    <w:rsid w:val="006918EF"/>
    <w:rsid w:val="006A238B"/>
    <w:rsid w:val="006B15CC"/>
    <w:rsid w:val="006C2F76"/>
    <w:rsid w:val="006D30EE"/>
    <w:rsid w:val="006E5807"/>
    <w:rsid w:val="006E697D"/>
    <w:rsid w:val="006F6CC7"/>
    <w:rsid w:val="00705F8A"/>
    <w:rsid w:val="0070771C"/>
    <w:rsid w:val="00715FA1"/>
    <w:rsid w:val="00716ADE"/>
    <w:rsid w:val="00751058"/>
    <w:rsid w:val="00763939"/>
    <w:rsid w:val="00765E9D"/>
    <w:rsid w:val="00767A4F"/>
    <w:rsid w:val="00775621"/>
    <w:rsid w:val="007A2AD9"/>
    <w:rsid w:val="007B3C0B"/>
    <w:rsid w:val="007C4C65"/>
    <w:rsid w:val="007C5CB5"/>
    <w:rsid w:val="007D276F"/>
    <w:rsid w:val="007D59A7"/>
    <w:rsid w:val="007D5FDF"/>
    <w:rsid w:val="007E253C"/>
    <w:rsid w:val="00811B1A"/>
    <w:rsid w:val="00837E8D"/>
    <w:rsid w:val="00846C2D"/>
    <w:rsid w:val="008549F0"/>
    <w:rsid w:val="00857C0F"/>
    <w:rsid w:val="0087456A"/>
    <w:rsid w:val="008A1C7F"/>
    <w:rsid w:val="008B3837"/>
    <w:rsid w:val="008C0AA1"/>
    <w:rsid w:val="008E7787"/>
    <w:rsid w:val="00900A74"/>
    <w:rsid w:val="00901E7B"/>
    <w:rsid w:val="00921194"/>
    <w:rsid w:val="00924E9A"/>
    <w:rsid w:val="009322CA"/>
    <w:rsid w:val="00946CC8"/>
    <w:rsid w:val="00957028"/>
    <w:rsid w:val="00960E2C"/>
    <w:rsid w:val="00963551"/>
    <w:rsid w:val="00966607"/>
    <w:rsid w:val="00966959"/>
    <w:rsid w:val="00967B2C"/>
    <w:rsid w:val="00973674"/>
    <w:rsid w:val="0099654D"/>
    <w:rsid w:val="009A0080"/>
    <w:rsid w:val="009A4ED6"/>
    <w:rsid w:val="009B6180"/>
    <w:rsid w:val="009C0FDE"/>
    <w:rsid w:val="009C671D"/>
    <w:rsid w:val="009D7001"/>
    <w:rsid w:val="009E11FA"/>
    <w:rsid w:val="00A13C0A"/>
    <w:rsid w:val="00A2631C"/>
    <w:rsid w:val="00A31DAC"/>
    <w:rsid w:val="00A31F26"/>
    <w:rsid w:val="00A44112"/>
    <w:rsid w:val="00A44340"/>
    <w:rsid w:val="00A61404"/>
    <w:rsid w:val="00A751E0"/>
    <w:rsid w:val="00A876FD"/>
    <w:rsid w:val="00AB3A55"/>
    <w:rsid w:val="00AC066A"/>
    <w:rsid w:val="00AC0DAE"/>
    <w:rsid w:val="00AC4E51"/>
    <w:rsid w:val="00AD393E"/>
    <w:rsid w:val="00AE6DCA"/>
    <w:rsid w:val="00B0048D"/>
    <w:rsid w:val="00B0144B"/>
    <w:rsid w:val="00B0316D"/>
    <w:rsid w:val="00B05E53"/>
    <w:rsid w:val="00B3292D"/>
    <w:rsid w:val="00B45FC9"/>
    <w:rsid w:val="00B62F91"/>
    <w:rsid w:val="00B64B26"/>
    <w:rsid w:val="00B73BA4"/>
    <w:rsid w:val="00B80CF1"/>
    <w:rsid w:val="00B92316"/>
    <w:rsid w:val="00BA207A"/>
    <w:rsid w:val="00BB1A29"/>
    <w:rsid w:val="00BB3265"/>
    <w:rsid w:val="00BB6BD8"/>
    <w:rsid w:val="00BB754D"/>
    <w:rsid w:val="00BC3993"/>
    <w:rsid w:val="00BC59CC"/>
    <w:rsid w:val="00BD5ED4"/>
    <w:rsid w:val="00BE36E2"/>
    <w:rsid w:val="00BF010A"/>
    <w:rsid w:val="00BF3743"/>
    <w:rsid w:val="00BF44B5"/>
    <w:rsid w:val="00BF6644"/>
    <w:rsid w:val="00BF6EF9"/>
    <w:rsid w:val="00BF7557"/>
    <w:rsid w:val="00C03E36"/>
    <w:rsid w:val="00C0461B"/>
    <w:rsid w:val="00C4419F"/>
    <w:rsid w:val="00C530B3"/>
    <w:rsid w:val="00C85F05"/>
    <w:rsid w:val="00C923A0"/>
    <w:rsid w:val="00C973D6"/>
    <w:rsid w:val="00CA2F51"/>
    <w:rsid w:val="00CA53C1"/>
    <w:rsid w:val="00CA57FD"/>
    <w:rsid w:val="00CA66DB"/>
    <w:rsid w:val="00CB1CEC"/>
    <w:rsid w:val="00CB1F31"/>
    <w:rsid w:val="00CB749E"/>
    <w:rsid w:val="00CC1A56"/>
    <w:rsid w:val="00CC52A1"/>
    <w:rsid w:val="00CC5D05"/>
    <w:rsid w:val="00CD3337"/>
    <w:rsid w:val="00CE42BE"/>
    <w:rsid w:val="00CE5B04"/>
    <w:rsid w:val="00CE74C0"/>
    <w:rsid w:val="00D07871"/>
    <w:rsid w:val="00D17B8C"/>
    <w:rsid w:val="00D27FCF"/>
    <w:rsid w:val="00D329D0"/>
    <w:rsid w:val="00D33F26"/>
    <w:rsid w:val="00D40CB2"/>
    <w:rsid w:val="00D47637"/>
    <w:rsid w:val="00D53CA0"/>
    <w:rsid w:val="00D67F85"/>
    <w:rsid w:val="00D812B8"/>
    <w:rsid w:val="00D82F47"/>
    <w:rsid w:val="00DA10FB"/>
    <w:rsid w:val="00DE43B4"/>
    <w:rsid w:val="00E16813"/>
    <w:rsid w:val="00E214C2"/>
    <w:rsid w:val="00E43938"/>
    <w:rsid w:val="00E43F78"/>
    <w:rsid w:val="00E44C82"/>
    <w:rsid w:val="00E55505"/>
    <w:rsid w:val="00E60D72"/>
    <w:rsid w:val="00E6695E"/>
    <w:rsid w:val="00E7771B"/>
    <w:rsid w:val="00E91D8B"/>
    <w:rsid w:val="00E9563D"/>
    <w:rsid w:val="00EB1903"/>
    <w:rsid w:val="00EB4196"/>
    <w:rsid w:val="00EC2F0F"/>
    <w:rsid w:val="00ED0D1D"/>
    <w:rsid w:val="00ED1253"/>
    <w:rsid w:val="00EE4441"/>
    <w:rsid w:val="00F43799"/>
    <w:rsid w:val="00F453BD"/>
    <w:rsid w:val="00F5642F"/>
    <w:rsid w:val="00F60B11"/>
    <w:rsid w:val="00F65879"/>
    <w:rsid w:val="00F83790"/>
    <w:rsid w:val="00F845F8"/>
    <w:rsid w:val="00FA7CA3"/>
    <w:rsid w:val="00FD16A5"/>
    <w:rsid w:val="00FD4B48"/>
    <w:rsid w:val="00FD6DED"/>
    <w:rsid w:val="00FF0D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fr-FR" w:eastAsia="fr-FR" w:bidi="fr-F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rFonts w:cs="Cambri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67F85"/>
    <w:pPr>
      <w:tabs>
        <w:tab w:val="center" w:pos="4536"/>
        <w:tab w:val="right" w:pos="9072"/>
      </w:tabs>
    </w:pPr>
  </w:style>
  <w:style w:type="character" w:customStyle="1" w:styleId="En-tteCar">
    <w:name w:val="En-tête Car"/>
    <w:basedOn w:val="Policepardfaut"/>
    <w:link w:val="En-tte"/>
    <w:uiPriority w:val="99"/>
    <w:locked/>
    <w:rsid w:val="00D67F85"/>
  </w:style>
  <w:style w:type="paragraph" w:styleId="Pieddepage">
    <w:name w:val="footer"/>
    <w:basedOn w:val="Normal"/>
    <w:link w:val="PieddepageCar"/>
    <w:uiPriority w:val="99"/>
    <w:rsid w:val="00D67F85"/>
    <w:pPr>
      <w:tabs>
        <w:tab w:val="center" w:pos="4536"/>
        <w:tab w:val="right" w:pos="9072"/>
      </w:tabs>
    </w:pPr>
  </w:style>
  <w:style w:type="character" w:customStyle="1" w:styleId="PieddepageCar">
    <w:name w:val="Pied de page Car"/>
    <w:basedOn w:val="Policepardfaut"/>
    <w:link w:val="Pieddepage"/>
    <w:uiPriority w:val="99"/>
    <w:locked/>
    <w:rsid w:val="00D67F85"/>
  </w:style>
  <w:style w:type="paragraph" w:styleId="Textedebulles">
    <w:name w:val="Balloon Text"/>
    <w:basedOn w:val="Normal"/>
    <w:link w:val="TextedebullesCar"/>
    <w:uiPriority w:val="99"/>
    <w:semiHidden/>
    <w:rsid w:val="00D67F8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D67F85"/>
    <w:rPr>
      <w:rFonts w:ascii="Lucida Grande" w:hAnsi="Lucida Grande" w:cs="Lucida Grande"/>
      <w:sz w:val="18"/>
      <w:szCs w:val="18"/>
    </w:rPr>
  </w:style>
  <w:style w:type="character" w:styleId="Lienhypertexte">
    <w:name w:val="Hyperlink"/>
    <w:basedOn w:val="Policepardfaut"/>
    <w:uiPriority w:val="99"/>
    <w:rsid w:val="00C0461B"/>
    <w:rPr>
      <w:color w:val="0000FF"/>
      <w:u w:val="single"/>
    </w:rPr>
  </w:style>
  <w:style w:type="paragraph" w:customStyle="1" w:styleId="textecontact">
    <w:name w:val="textecontact"/>
    <w:basedOn w:val="Normal"/>
    <w:uiPriority w:val="99"/>
    <w:rsid w:val="00C0461B"/>
    <w:pPr>
      <w:spacing w:before="100" w:beforeAutospacing="1" w:after="100" w:afterAutospacing="1"/>
    </w:pPr>
    <w:rPr>
      <w:rFonts w:ascii="Times New Roman" w:hAnsi="Times New Roman" w:cs="Times New Roman"/>
    </w:rPr>
  </w:style>
  <w:style w:type="table" w:styleId="Grilledutableau">
    <w:name w:val="Table Grid"/>
    <w:basedOn w:val="TableauNormal"/>
    <w:uiPriority w:val="99"/>
    <w:rsid w:val="00C0461B"/>
    <w:pPr>
      <w:spacing w:line="240" w:lineRule="atLeast"/>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contact0">
    <w:name w:val="Texte contact"/>
    <w:basedOn w:val="Normal"/>
    <w:uiPriority w:val="99"/>
    <w:rsid w:val="00C0461B"/>
    <w:pPr>
      <w:framePr w:w="10206" w:h="57" w:wrap="notBeside" w:vAnchor="page" w:hAnchor="page" w:x="852" w:y="12245"/>
      <w:spacing w:before="60" w:after="60" w:line="220" w:lineRule="atLeast"/>
      <w:ind w:left="113" w:right="113"/>
      <w:jc w:val="both"/>
    </w:pPr>
    <w:rPr>
      <w:rFonts w:ascii="Arial" w:hAnsi="Arial" w:cs="Arial"/>
      <w:sz w:val="18"/>
      <w:szCs w:val="18"/>
    </w:rPr>
  </w:style>
  <w:style w:type="paragraph" w:customStyle="1" w:styleId="Titrecontact">
    <w:name w:val="Titre contact"/>
    <w:basedOn w:val="Textecontact0"/>
    <w:uiPriority w:val="99"/>
    <w:rsid w:val="00C0461B"/>
    <w:pPr>
      <w:framePr w:wrap="notBeside" w:y="12192" w:anchorLock="1"/>
      <w:spacing w:before="0" w:after="0"/>
      <w:ind w:left="0" w:right="0"/>
    </w:pPr>
    <w:rPr>
      <w:b/>
      <w:bCs/>
      <w:color w:val="000000"/>
    </w:rPr>
  </w:style>
  <w:style w:type="character" w:styleId="lev">
    <w:name w:val="Strong"/>
    <w:basedOn w:val="Policepardfaut"/>
    <w:uiPriority w:val="99"/>
    <w:qFormat/>
    <w:rsid w:val="00202E35"/>
    <w:rPr>
      <w:b/>
      <w:bCs/>
    </w:rPr>
  </w:style>
  <w:style w:type="paragraph" w:styleId="Paragraphedeliste">
    <w:name w:val="List Paragraph"/>
    <w:basedOn w:val="Normal"/>
    <w:uiPriority w:val="34"/>
    <w:qFormat/>
    <w:rsid w:val="00A2631C"/>
    <w:pPr>
      <w:ind w:left="720"/>
    </w:pPr>
  </w:style>
  <w:style w:type="paragraph" w:customStyle="1" w:styleId="Body1">
    <w:name w:val="Body 1"/>
    <w:uiPriority w:val="99"/>
    <w:rsid w:val="004F131D"/>
    <w:pPr>
      <w:outlineLvl w:val="0"/>
    </w:pPr>
    <w:rPr>
      <w:rFonts w:ascii="Helvetica" w:eastAsia="Arial Unicode MS" w:hAnsi="Helvetica" w:cs="Helvetica"/>
      <w:color w:val="000000"/>
      <w:sz w:val="24"/>
      <w:szCs w:val="24"/>
      <w:u w:color="000000"/>
    </w:rPr>
  </w:style>
  <w:style w:type="paragraph" w:styleId="Notedebasdepage">
    <w:name w:val="footnote text"/>
    <w:basedOn w:val="Normal"/>
    <w:link w:val="NotedebasdepageCar"/>
    <w:uiPriority w:val="99"/>
    <w:semiHidden/>
    <w:rsid w:val="004F131D"/>
    <w:pPr>
      <w:widowControl w:val="0"/>
    </w:pPr>
    <w:rPr>
      <w:sz w:val="20"/>
      <w:szCs w:val="20"/>
    </w:rPr>
  </w:style>
  <w:style w:type="character" w:customStyle="1" w:styleId="NotedebasdepageCar">
    <w:name w:val="Note de bas de page Car"/>
    <w:basedOn w:val="Policepardfaut"/>
    <w:link w:val="Notedebasdepage"/>
    <w:uiPriority w:val="99"/>
    <w:semiHidden/>
    <w:locked/>
    <w:rsid w:val="004F131D"/>
    <w:rPr>
      <w:lang w:eastAsia="fr-FR" w:bidi="fr-FR"/>
    </w:rPr>
  </w:style>
  <w:style w:type="character" w:styleId="Appelnotedebasdep">
    <w:name w:val="footnote reference"/>
    <w:basedOn w:val="Policepardfaut"/>
    <w:uiPriority w:val="99"/>
    <w:semiHidden/>
    <w:rsid w:val="004F131D"/>
    <w:rPr>
      <w:rFonts w:ascii="Times New Roman" w:hAnsi="Times New Roman" w:cs="Times New Roman"/>
      <w:vertAlign w:val="superscript"/>
    </w:rPr>
  </w:style>
  <w:style w:type="paragraph" w:customStyle="1" w:styleId="Default">
    <w:name w:val="Default"/>
    <w:uiPriority w:val="99"/>
    <w:rsid w:val="004F131D"/>
    <w:pPr>
      <w:widowControl w:val="0"/>
      <w:suppressAutoHyphens/>
      <w:autoSpaceDE w:val="0"/>
    </w:pPr>
    <w:rPr>
      <w:rFonts w:ascii="Arial" w:hAnsi="Arial" w:cs="Arial"/>
      <w:color w:val="000000"/>
      <w:sz w:val="24"/>
      <w:szCs w:val="24"/>
    </w:rPr>
  </w:style>
  <w:style w:type="paragraph" w:customStyle="1" w:styleId="ListParagraph1">
    <w:name w:val="List Paragraph1"/>
    <w:basedOn w:val="Normal"/>
    <w:uiPriority w:val="99"/>
    <w:rsid w:val="004F131D"/>
    <w:pPr>
      <w:ind w:left="720"/>
    </w:pPr>
  </w:style>
  <w:style w:type="paragraph" w:styleId="Corpsdetexte">
    <w:name w:val="Body Text"/>
    <w:basedOn w:val="Normal"/>
    <w:link w:val="CorpsdetexteCar"/>
    <w:uiPriority w:val="99"/>
    <w:semiHidden/>
    <w:rsid w:val="004F131D"/>
    <w:pPr>
      <w:spacing w:line="270" w:lineRule="exact"/>
      <w:jc w:val="both"/>
    </w:pPr>
    <w:rPr>
      <w:rFonts w:ascii="Arial" w:eastAsia="Arial Unicode MS" w:hAnsi="Arial" w:cs="Arial"/>
      <w:color w:val="000000"/>
      <w:sz w:val="20"/>
      <w:szCs w:val="20"/>
      <w:u w:color="000000"/>
    </w:rPr>
  </w:style>
  <w:style w:type="character" w:customStyle="1" w:styleId="CorpsdetexteCar">
    <w:name w:val="Corps de texte Car"/>
    <w:basedOn w:val="Policepardfaut"/>
    <w:link w:val="Corpsdetexte"/>
    <w:uiPriority w:val="99"/>
    <w:semiHidden/>
    <w:locked/>
    <w:rsid w:val="004F131D"/>
    <w:rPr>
      <w:rFonts w:ascii="Arial" w:eastAsia="Arial Unicode MS" w:hAnsi="Arial" w:cs="Arial"/>
      <w:color w:val="000000"/>
      <w:u w:color="000000"/>
      <w:lang w:val="fr-FR"/>
    </w:rPr>
  </w:style>
  <w:style w:type="paragraph" w:styleId="Retraitcorpsdetexte">
    <w:name w:val="Body Text Indent"/>
    <w:basedOn w:val="Normal"/>
    <w:link w:val="RetraitcorpsdetexteCar"/>
    <w:uiPriority w:val="99"/>
    <w:semiHidden/>
    <w:rsid w:val="004F131D"/>
    <w:pPr>
      <w:spacing w:line="270" w:lineRule="exact"/>
      <w:ind w:left="720"/>
      <w:jc w:val="both"/>
    </w:pPr>
    <w:rPr>
      <w:rFonts w:ascii="Arial" w:hAnsi="Arial" w:cs="Arial"/>
      <w:sz w:val="20"/>
      <w:szCs w:val="20"/>
    </w:rPr>
  </w:style>
  <w:style w:type="character" w:customStyle="1" w:styleId="RetraitcorpsdetexteCar">
    <w:name w:val="Retrait corps de texte Car"/>
    <w:basedOn w:val="Policepardfaut"/>
    <w:link w:val="Retraitcorpsdetexte"/>
    <w:uiPriority w:val="99"/>
    <w:semiHidden/>
    <w:locked/>
    <w:rsid w:val="004F131D"/>
    <w:rPr>
      <w:rFonts w:ascii="Arial" w:hAnsi="Arial" w:cs="Arial"/>
      <w:lang w:val="fr-FR"/>
    </w:rPr>
  </w:style>
  <w:style w:type="paragraph" w:customStyle="1" w:styleId="CM4">
    <w:name w:val="CM4"/>
    <w:basedOn w:val="Normal"/>
    <w:next w:val="Normal"/>
    <w:rsid w:val="00CE74C0"/>
    <w:pPr>
      <w:widowControl w:val="0"/>
      <w:autoSpaceDE w:val="0"/>
      <w:spacing w:after="240"/>
    </w:pPr>
    <w:rPr>
      <w:rFonts w:ascii="Arial" w:eastAsia="Times New Roman" w:hAnsi="Arial" w:cs="Arial"/>
    </w:rPr>
  </w:style>
  <w:style w:type="paragraph" w:styleId="Rvision">
    <w:name w:val="Revision"/>
    <w:hidden/>
    <w:uiPriority w:val="99"/>
    <w:semiHidden/>
    <w:rsid w:val="00B0316D"/>
    <w:rPr>
      <w:rFonts w:cs="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fr-FR" w:eastAsia="fr-FR" w:bidi="fr-F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rFonts w:cs="Cambri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67F85"/>
    <w:pPr>
      <w:tabs>
        <w:tab w:val="center" w:pos="4536"/>
        <w:tab w:val="right" w:pos="9072"/>
      </w:tabs>
    </w:pPr>
  </w:style>
  <w:style w:type="character" w:customStyle="1" w:styleId="En-tteCar">
    <w:name w:val="En-tête Car"/>
    <w:basedOn w:val="Policepardfaut"/>
    <w:link w:val="En-tte"/>
    <w:uiPriority w:val="99"/>
    <w:locked/>
    <w:rsid w:val="00D67F85"/>
  </w:style>
  <w:style w:type="paragraph" w:styleId="Pieddepage">
    <w:name w:val="footer"/>
    <w:basedOn w:val="Normal"/>
    <w:link w:val="PieddepageCar"/>
    <w:uiPriority w:val="99"/>
    <w:rsid w:val="00D67F85"/>
    <w:pPr>
      <w:tabs>
        <w:tab w:val="center" w:pos="4536"/>
        <w:tab w:val="right" w:pos="9072"/>
      </w:tabs>
    </w:pPr>
  </w:style>
  <w:style w:type="character" w:customStyle="1" w:styleId="PieddepageCar">
    <w:name w:val="Pied de page Car"/>
    <w:basedOn w:val="Policepardfaut"/>
    <w:link w:val="Pieddepage"/>
    <w:uiPriority w:val="99"/>
    <w:locked/>
    <w:rsid w:val="00D67F85"/>
  </w:style>
  <w:style w:type="paragraph" w:styleId="Textedebulles">
    <w:name w:val="Balloon Text"/>
    <w:basedOn w:val="Normal"/>
    <w:link w:val="TextedebullesCar"/>
    <w:uiPriority w:val="99"/>
    <w:semiHidden/>
    <w:rsid w:val="00D67F8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D67F85"/>
    <w:rPr>
      <w:rFonts w:ascii="Lucida Grande" w:hAnsi="Lucida Grande" w:cs="Lucida Grande"/>
      <w:sz w:val="18"/>
      <w:szCs w:val="18"/>
    </w:rPr>
  </w:style>
  <w:style w:type="character" w:styleId="Lienhypertexte">
    <w:name w:val="Hyperlink"/>
    <w:basedOn w:val="Policepardfaut"/>
    <w:uiPriority w:val="99"/>
    <w:rsid w:val="00C0461B"/>
    <w:rPr>
      <w:color w:val="0000FF"/>
      <w:u w:val="single"/>
    </w:rPr>
  </w:style>
  <w:style w:type="paragraph" w:customStyle="1" w:styleId="textecontact">
    <w:name w:val="textecontact"/>
    <w:basedOn w:val="Normal"/>
    <w:uiPriority w:val="99"/>
    <w:rsid w:val="00C0461B"/>
    <w:pPr>
      <w:spacing w:before="100" w:beforeAutospacing="1" w:after="100" w:afterAutospacing="1"/>
    </w:pPr>
    <w:rPr>
      <w:rFonts w:ascii="Times New Roman" w:hAnsi="Times New Roman" w:cs="Times New Roman"/>
    </w:rPr>
  </w:style>
  <w:style w:type="table" w:styleId="Grilledutableau">
    <w:name w:val="Table Grid"/>
    <w:basedOn w:val="TableauNormal"/>
    <w:uiPriority w:val="99"/>
    <w:rsid w:val="00C0461B"/>
    <w:pPr>
      <w:spacing w:line="240" w:lineRule="atLeast"/>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contact0">
    <w:name w:val="Texte contact"/>
    <w:basedOn w:val="Normal"/>
    <w:uiPriority w:val="99"/>
    <w:rsid w:val="00C0461B"/>
    <w:pPr>
      <w:framePr w:w="10206" w:h="57" w:wrap="notBeside" w:vAnchor="page" w:hAnchor="page" w:x="852" w:y="12245"/>
      <w:spacing w:before="60" w:after="60" w:line="220" w:lineRule="atLeast"/>
      <w:ind w:left="113" w:right="113"/>
      <w:jc w:val="both"/>
    </w:pPr>
    <w:rPr>
      <w:rFonts w:ascii="Arial" w:hAnsi="Arial" w:cs="Arial"/>
      <w:sz w:val="18"/>
      <w:szCs w:val="18"/>
    </w:rPr>
  </w:style>
  <w:style w:type="paragraph" w:customStyle="1" w:styleId="Titrecontact">
    <w:name w:val="Titre contact"/>
    <w:basedOn w:val="Textecontact0"/>
    <w:uiPriority w:val="99"/>
    <w:rsid w:val="00C0461B"/>
    <w:pPr>
      <w:framePr w:wrap="notBeside" w:y="12192" w:anchorLock="1"/>
      <w:spacing w:before="0" w:after="0"/>
      <w:ind w:left="0" w:right="0"/>
    </w:pPr>
    <w:rPr>
      <w:b/>
      <w:bCs/>
      <w:color w:val="000000"/>
    </w:rPr>
  </w:style>
  <w:style w:type="character" w:styleId="lev">
    <w:name w:val="Strong"/>
    <w:basedOn w:val="Policepardfaut"/>
    <w:uiPriority w:val="99"/>
    <w:qFormat/>
    <w:rsid w:val="00202E35"/>
    <w:rPr>
      <w:b/>
      <w:bCs/>
    </w:rPr>
  </w:style>
  <w:style w:type="paragraph" w:styleId="Paragraphedeliste">
    <w:name w:val="List Paragraph"/>
    <w:basedOn w:val="Normal"/>
    <w:uiPriority w:val="34"/>
    <w:qFormat/>
    <w:rsid w:val="00A2631C"/>
    <w:pPr>
      <w:ind w:left="720"/>
    </w:pPr>
  </w:style>
  <w:style w:type="paragraph" w:customStyle="1" w:styleId="Body1">
    <w:name w:val="Body 1"/>
    <w:uiPriority w:val="99"/>
    <w:rsid w:val="004F131D"/>
    <w:pPr>
      <w:outlineLvl w:val="0"/>
    </w:pPr>
    <w:rPr>
      <w:rFonts w:ascii="Helvetica" w:eastAsia="Arial Unicode MS" w:hAnsi="Helvetica" w:cs="Helvetica"/>
      <w:color w:val="000000"/>
      <w:sz w:val="24"/>
      <w:szCs w:val="24"/>
      <w:u w:color="000000"/>
    </w:rPr>
  </w:style>
  <w:style w:type="paragraph" w:styleId="Notedebasdepage">
    <w:name w:val="footnote text"/>
    <w:basedOn w:val="Normal"/>
    <w:link w:val="NotedebasdepageCar"/>
    <w:uiPriority w:val="99"/>
    <w:semiHidden/>
    <w:rsid w:val="004F131D"/>
    <w:pPr>
      <w:widowControl w:val="0"/>
    </w:pPr>
    <w:rPr>
      <w:sz w:val="20"/>
      <w:szCs w:val="20"/>
    </w:rPr>
  </w:style>
  <w:style w:type="character" w:customStyle="1" w:styleId="NotedebasdepageCar">
    <w:name w:val="Note de bas de page Car"/>
    <w:basedOn w:val="Policepardfaut"/>
    <w:link w:val="Notedebasdepage"/>
    <w:uiPriority w:val="99"/>
    <w:semiHidden/>
    <w:locked/>
    <w:rsid w:val="004F131D"/>
    <w:rPr>
      <w:lang w:eastAsia="fr-FR" w:bidi="fr-FR"/>
    </w:rPr>
  </w:style>
  <w:style w:type="character" w:styleId="Appelnotedebasdep">
    <w:name w:val="footnote reference"/>
    <w:basedOn w:val="Policepardfaut"/>
    <w:uiPriority w:val="99"/>
    <w:semiHidden/>
    <w:rsid w:val="004F131D"/>
    <w:rPr>
      <w:rFonts w:ascii="Times New Roman" w:hAnsi="Times New Roman" w:cs="Times New Roman"/>
      <w:vertAlign w:val="superscript"/>
    </w:rPr>
  </w:style>
  <w:style w:type="paragraph" w:customStyle="1" w:styleId="Default">
    <w:name w:val="Default"/>
    <w:uiPriority w:val="99"/>
    <w:rsid w:val="004F131D"/>
    <w:pPr>
      <w:widowControl w:val="0"/>
      <w:suppressAutoHyphens/>
      <w:autoSpaceDE w:val="0"/>
    </w:pPr>
    <w:rPr>
      <w:rFonts w:ascii="Arial" w:hAnsi="Arial" w:cs="Arial"/>
      <w:color w:val="000000"/>
      <w:sz w:val="24"/>
      <w:szCs w:val="24"/>
    </w:rPr>
  </w:style>
  <w:style w:type="paragraph" w:customStyle="1" w:styleId="ListParagraph1">
    <w:name w:val="List Paragraph1"/>
    <w:basedOn w:val="Normal"/>
    <w:uiPriority w:val="99"/>
    <w:rsid w:val="004F131D"/>
    <w:pPr>
      <w:ind w:left="720"/>
    </w:pPr>
  </w:style>
  <w:style w:type="paragraph" w:styleId="Corpsdetexte">
    <w:name w:val="Body Text"/>
    <w:basedOn w:val="Normal"/>
    <w:link w:val="CorpsdetexteCar"/>
    <w:uiPriority w:val="99"/>
    <w:semiHidden/>
    <w:rsid w:val="004F131D"/>
    <w:pPr>
      <w:spacing w:line="270" w:lineRule="exact"/>
      <w:jc w:val="both"/>
    </w:pPr>
    <w:rPr>
      <w:rFonts w:ascii="Arial" w:eastAsia="Arial Unicode MS" w:hAnsi="Arial" w:cs="Arial"/>
      <w:color w:val="000000"/>
      <w:sz w:val="20"/>
      <w:szCs w:val="20"/>
      <w:u w:color="000000"/>
    </w:rPr>
  </w:style>
  <w:style w:type="character" w:customStyle="1" w:styleId="CorpsdetexteCar">
    <w:name w:val="Corps de texte Car"/>
    <w:basedOn w:val="Policepardfaut"/>
    <w:link w:val="Corpsdetexte"/>
    <w:uiPriority w:val="99"/>
    <w:semiHidden/>
    <w:locked/>
    <w:rsid w:val="004F131D"/>
    <w:rPr>
      <w:rFonts w:ascii="Arial" w:eastAsia="Arial Unicode MS" w:hAnsi="Arial" w:cs="Arial"/>
      <w:color w:val="000000"/>
      <w:u w:color="000000"/>
      <w:lang w:val="fr-FR"/>
    </w:rPr>
  </w:style>
  <w:style w:type="paragraph" w:styleId="Retraitcorpsdetexte">
    <w:name w:val="Body Text Indent"/>
    <w:basedOn w:val="Normal"/>
    <w:link w:val="RetraitcorpsdetexteCar"/>
    <w:uiPriority w:val="99"/>
    <w:semiHidden/>
    <w:rsid w:val="004F131D"/>
    <w:pPr>
      <w:spacing w:line="270" w:lineRule="exact"/>
      <w:ind w:left="720"/>
      <w:jc w:val="both"/>
    </w:pPr>
    <w:rPr>
      <w:rFonts w:ascii="Arial" w:hAnsi="Arial" w:cs="Arial"/>
      <w:sz w:val="20"/>
      <w:szCs w:val="20"/>
    </w:rPr>
  </w:style>
  <w:style w:type="character" w:customStyle="1" w:styleId="RetraitcorpsdetexteCar">
    <w:name w:val="Retrait corps de texte Car"/>
    <w:basedOn w:val="Policepardfaut"/>
    <w:link w:val="Retraitcorpsdetexte"/>
    <w:uiPriority w:val="99"/>
    <w:semiHidden/>
    <w:locked/>
    <w:rsid w:val="004F131D"/>
    <w:rPr>
      <w:rFonts w:ascii="Arial" w:hAnsi="Arial" w:cs="Arial"/>
      <w:lang w:val="fr-FR"/>
    </w:rPr>
  </w:style>
  <w:style w:type="paragraph" w:customStyle="1" w:styleId="CM4">
    <w:name w:val="CM4"/>
    <w:basedOn w:val="Normal"/>
    <w:next w:val="Normal"/>
    <w:rsid w:val="00CE74C0"/>
    <w:pPr>
      <w:widowControl w:val="0"/>
      <w:autoSpaceDE w:val="0"/>
      <w:spacing w:after="240"/>
    </w:pPr>
    <w:rPr>
      <w:rFonts w:ascii="Arial" w:eastAsia="Times New Roman" w:hAnsi="Arial" w:cs="Arial"/>
    </w:rPr>
  </w:style>
  <w:style w:type="paragraph" w:styleId="Rvision">
    <w:name w:val="Revision"/>
    <w:hidden/>
    <w:uiPriority w:val="99"/>
    <w:semiHidden/>
    <w:rsid w:val="00B0316D"/>
    <w:rPr>
      <w:rFonts w:cs="Cambria"/>
      <w:sz w:val="24"/>
      <w:szCs w:val="24"/>
    </w:rPr>
  </w:style>
</w:styles>
</file>

<file path=word/webSettings.xml><?xml version="1.0" encoding="utf-8"?>
<w:webSettings xmlns:r="http://schemas.openxmlformats.org/officeDocument/2006/relationships" xmlns:w="http://schemas.openxmlformats.org/wordprocessingml/2006/main">
  <w:divs>
    <w:div w:id="416635173">
      <w:bodyDiv w:val="1"/>
      <w:marLeft w:val="0"/>
      <w:marRight w:val="0"/>
      <w:marTop w:val="0"/>
      <w:marBottom w:val="0"/>
      <w:divBdr>
        <w:top w:val="none" w:sz="0" w:space="0" w:color="auto"/>
        <w:left w:val="none" w:sz="0" w:space="0" w:color="auto"/>
        <w:bottom w:val="none" w:sz="0" w:space="0" w:color="auto"/>
        <w:right w:val="none" w:sz="0" w:space="0" w:color="auto"/>
      </w:divBdr>
    </w:div>
    <w:div w:id="1313295871">
      <w:bodyDiv w:val="1"/>
      <w:marLeft w:val="0"/>
      <w:marRight w:val="0"/>
      <w:marTop w:val="0"/>
      <w:marBottom w:val="0"/>
      <w:divBdr>
        <w:top w:val="none" w:sz="0" w:space="0" w:color="auto"/>
        <w:left w:val="none" w:sz="0" w:space="0" w:color="auto"/>
        <w:bottom w:val="none" w:sz="0" w:space="0" w:color="auto"/>
        <w:right w:val="none" w:sz="0" w:space="0" w:color="auto"/>
      </w:divBdr>
    </w:div>
    <w:div w:id="196530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laure.normandin@coface.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fa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1F7F7-2301-4F19-8A00-873E1CCA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2300</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Town, 00 Month 2013</vt:lpstr>
      <vt:lpstr>Town, 00 Month 2013</vt:lpstr>
    </vt:vector>
  </TitlesOfParts>
  <Company>Coface UK</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00 Month 2013</dc:title>
  <dc:creator>KRELLENSTEIN Maria</dc:creator>
  <cp:lastModifiedBy>willy_esteve</cp:lastModifiedBy>
  <cp:revision>2</cp:revision>
  <cp:lastPrinted>2013-11-19T10:12:00Z</cp:lastPrinted>
  <dcterms:created xsi:type="dcterms:W3CDTF">2014-02-07T11:30:00Z</dcterms:created>
  <dcterms:modified xsi:type="dcterms:W3CDTF">2014-02-07T11:30:00Z</dcterms:modified>
</cp:coreProperties>
</file>