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75274" w14:textId="29E504D6" w:rsidR="006E5807" w:rsidRPr="001B3418" w:rsidRDefault="00C0461B" w:rsidP="006B4DF6">
      <w:pPr>
        <w:suppressAutoHyphens/>
        <w:spacing w:line="270" w:lineRule="exact"/>
        <w:rPr>
          <w:rFonts w:ascii="Arial" w:hAnsi="Arial" w:cs="Arial"/>
          <w:bCs/>
          <w:color w:val="000000"/>
          <w:sz w:val="20"/>
          <w:szCs w:val="20"/>
        </w:rPr>
      </w:pPr>
      <w:r w:rsidRPr="009569DF">
        <w:rPr>
          <w:rFonts w:ascii="Arial" w:hAnsi="Arial" w:cs="Arial"/>
          <w:bCs/>
          <w:color w:val="000000"/>
          <w:sz w:val="20"/>
          <w:szCs w:val="20"/>
        </w:rPr>
        <w:t>Paris,</w:t>
      </w:r>
      <w:r w:rsidR="006B4DF6">
        <w:rPr>
          <w:rFonts w:ascii="Arial" w:hAnsi="Arial" w:cs="Arial"/>
          <w:bCs/>
          <w:color w:val="000000"/>
          <w:sz w:val="20"/>
          <w:szCs w:val="20"/>
        </w:rPr>
        <w:t xml:space="preserve"> 12</w:t>
      </w:r>
      <w:r w:rsidR="002F3565">
        <w:rPr>
          <w:rFonts w:ascii="Arial" w:hAnsi="Arial" w:cs="Arial"/>
          <w:bCs/>
          <w:color w:val="000000"/>
          <w:sz w:val="20"/>
          <w:szCs w:val="20"/>
        </w:rPr>
        <w:t xml:space="preserve"> </w:t>
      </w:r>
      <w:r w:rsidR="00BD52B5">
        <w:rPr>
          <w:rFonts w:ascii="Arial" w:hAnsi="Arial" w:cs="Arial"/>
          <w:bCs/>
          <w:color w:val="000000"/>
          <w:sz w:val="20"/>
          <w:szCs w:val="20"/>
        </w:rPr>
        <w:t>décembre 2014</w:t>
      </w:r>
    </w:p>
    <w:p w14:paraId="484DB56C" w14:textId="77777777" w:rsidR="00BD52B5" w:rsidRPr="0061780A" w:rsidRDefault="00BD52B5" w:rsidP="0061780A">
      <w:pPr>
        <w:suppressAutoHyphens/>
        <w:spacing w:line="270" w:lineRule="exact"/>
        <w:rPr>
          <w:rFonts w:ascii="Arial" w:eastAsiaTheme="minorHAnsi" w:hAnsi="Arial" w:cs="Arial"/>
          <w:b/>
          <w:lang w:eastAsia="en-US"/>
        </w:rPr>
      </w:pPr>
    </w:p>
    <w:p w14:paraId="72CC8AEF" w14:textId="69328F7D" w:rsidR="00BD52B5" w:rsidRPr="0061780A" w:rsidRDefault="00530F55" w:rsidP="0061780A">
      <w:pPr>
        <w:suppressAutoHyphens/>
        <w:spacing w:line="270" w:lineRule="exact"/>
        <w:rPr>
          <w:rFonts w:ascii="Arial" w:eastAsiaTheme="minorHAnsi" w:hAnsi="Arial" w:cs="Arial"/>
          <w:b/>
          <w:lang w:eastAsia="en-US"/>
        </w:rPr>
      </w:pPr>
      <w:r w:rsidRPr="0061780A">
        <w:rPr>
          <w:rFonts w:ascii="Arial" w:eastAsiaTheme="minorHAnsi" w:hAnsi="Arial" w:cs="Arial"/>
          <w:b/>
          <w:lang w:eastAsia="en-US"/>
        </w:rPr>
        <w:t>D</w:t>
      </w:r>
      <w:r w:rsidR="00756870" w:rsidRPr="0061780A">
        <w:rPr>
          <w:rFonts w:ascii="Arial" w:eastAsiaTheme="minorHAnsi" w:hAnsi="Arial" w:cs="Arial"/>
          <w:b/>
          <w:lang w:eastAsia="en-US"/>
        </w:rPr>
        <w:t>éfaillances d’entreprises</w:t>
      </w:r>
      <w:r w:rsidR="00F61EE1" w:rsidRPr="0061780A">
        <w:rPr>
          <w:rFonts w:ascii="Arial" w:eastAsiaTheme="minorHAnsi" w:hAnsi="Arial" w:cs="Arial"/>
          <w:b/>
          <w:lang w:eastAsia="en-US"/>
        </w:rPr>
        <w:t> : une diminution limitée</w:t>
      </w:r>
    </w:p>
    <w:p w14:paraId="53EAB516" w14:textId="77777777" w:rsidR="00BD52B5" w:rsidRPr="00BD52B5" w:rsidRDefault="00BD52B5" w:rsidP="006B4DF6">
      <w:pPr>
        <w:suppressAutoHyphens/>
        <w:spacing w:line="270" w:lineRule="exact"/>
        <w:jc w:val="both"/>
        <w:rPr>
          <w:rFonts w:ascii="Arial" w:eastAsiaTheme="minorHAnsi" w:hAnsi="Arial" w:cs="Arial"/>
          <w:b/>
          <w:sz w:val="20"/>
          <w:szCs w:val="22"/>
          <w:lang w:eastAsia="en-US"/>
        </w:rPr>
      </w:pPr>
    </w:p>
    <w:p w14:paraId="3EC571D5" w14:textId="0D4D73A2" w:rsidR="00BD52B5" w:rsidRPr="006B4DF6" w:rsidRDefault="00BD52B5" w:rsidP="006B4DF6">
      <w:pPr>
        <w:suppressAutoHyphens/>
        <w:spacing w:line="270" w:lineRule="exact"/>
        <w:jc w:val="both"/>
        <w:rPr>
          <w:rFonts w:ascii="Arial" w:eastAsiaTheme="minorHAnsi" w:hAnsi="Arial" w:cs="Arial"/>
          <w:b/>
          <w:sz w:val="22"/>
          <w:szCs w:val="22"/>
          <w:lang w:eastAsia="en-US"/>
        </w:rPr>
      </w:pPr>
      <w:r w:rsidRPr="006B4DF6">
        <w:rPr>
          <w:rFonts w:ascii="Arial" w:eastAsiaTheme="minorHAnsi" w:hAnsi="Arial" w:cs="Arial"/>
          <w:b/>
          <w:sz w:val="22"/>
          <w:szCs w:val="22"/>
          <w:lang w:eastAsia="en-US"/>
        </w:rPr>
        <w:t>Le nombre de défaillan</w:t>
      </w:r>
      <w:r w:rsidR="004A1371" w:rsidRPr="006B4DF6">
        <w:rPr>
          <w:rFonts w:ascii="Arial" w:eastAsiaTheme="minorHAnsi" w:hAnsi="Arial" w:cs="Arial"/>
          <w:b/>
          <w:sz w:val="22"/>
          <w:szCs w:val="22"/>
          <w:lang w:eastAsia="en-US"/>
        </w:rPr>
        <w:t>ces d’entreprises à fin octobre, sur les 12 derniers mois</w:t>
      </w:r>
      <w:r w:rsidR="00756870">
        <w:rPr>
          <w:rFonts w:ascii="Arial" w:eastAsiaTheme="minorHAnsi" w:hAnsi="Arial" w:cs="Arial"/>
          <w:b/>
          <w:sz w:val="22"/>
          <w:szCs w:val="22"/>
          <w:lang w:eastAsia="en-US"/>
        </w:rPr>
        <w:t>,</w:t>
      </w:r>
      <w:r w:rsidRPr="006B4DF6">
        <w:rPr>
          <w:rFonts w:ascii="Arial" w:eastAsiaTheme="minorHAnsi" w:hAnsi="Arial" w:cs="Arial"/>
          <w:b/>
          <w:sz w:val="22"/>
          <w:szCs w:val="22"/>
          <w:lang w:eastAsia="en-US"/>
        </w:rPr>
        <w:t xml:space="preserve"> est de 63 002 </w:t>
      </w:r>
      <w:r w:rsidR="00756870">
        <w:rPr>
          <w:rFonts w:ascii="Arial" w:eastAsiaTheme="minorHAnsi" w:hAnsi="Arial" w:cs="Arial"/>
          <w:b/>
          <w:sz w:val="22"/>
          <w:szCs w:val="22"/>
          <w:lang w:eastAsia="en-US"/>
        </w:rPr>
        <w:t xml:space="preserve">cas, en </w:t>
      </w:r>
      <w:r w:rsidRPr="006B4DF6">
        <w:rPr>
          <w:rFonts w:ascii="Arial" w:eastAsiaTheme="minorHAnsi" w:hAnsi="Arial" w:cs="Arial"/>
          <w:b/>
          <w:sz w:val="22"/>
          <w:szCs w:val="22"/>
          <w:lang w:eastAsia="en-US"/>
        </w:rPr>
        <w:t xml:space="preserve">baisse </w:t>
      </w:r>
      <w:r w:rsidR="00756870">
        <w:rPr>
          <w:rFonts w:ascii="Arial" w:eastAsiaTheme="minorHAnsi" w:hAnsi="Arial" w:cs="Arial"/>
          <w:b/>
          <w:sz w:val="22"/>
          <w:szCs w:val="22"/>
          <w:lang w:eastAsia="en-US"/>
        </w:rPr>
        <w:t xml:space="preserve">de 0,9% par rapport à la même période 2013. Depuis 2010, </w:t>
      </w:r>
      <w:r w:rsidR="000A43F7">
        <w:rPr>
          <w:rFonts w:ascii="Arial" w:eastAsiaTheme="minorHAnsi" w:hAnsi="Arial" w:cs="Arial"/>
          <w:b/>
          <w:sz w:val="22"/>
          <w:szCs w:val="22"/>
          <w:lang w:eastAsia="en-US"/>
        </w:rPr>
        <w:t xml:space="preserve">octobre, </w:t>
      </w:r>
      <w:r w:rsidR="000A43F7" w:rsidRPr="006B4DF6">
        <w:rPr>
          <w:rFonts w:ascii="Arial" w:eastAsiaTheme="minorHAnsi" w:hAnsi="Arial" w:cs="Arial"/>
          <w:b/>
          <w:sz w:val="22"/>
          <w:szCs w:val="22"/>
          <w:lang w:eastAsia="en-US"/>
        </w:rPr>
        <w:t>mois historiquement sinistrée</w:t>
      </w:r>
      <w:r w:rsidR="000A43F7">
        <w:rPr>
          <w:rFonts w:ascii="Arial" w:eastAsiaTheme="minorHAnsi" w:hAnsi="Arial" w:cs="Arial"/>
          <w:b/>
          <w:sz w:val="22"/>
          <w:szCs w:val="22"/>
          <w:lang w:eastAsia="en-US"/>
        </w:rPr>
        <w:t>,</w:t>
      </w:r>
      <w:r w:rsidR="000A43F7" w:rsidRPr="006B4DF6">
        <w:rPr>
          <w:rFonts w:ascii="Arial" w:eastAsiaTheme="minorHAnsi" w:hAnsi="Arial" w:cs="Arial"/>
          <w:b/>
          <w:sz w:val="22"/>
          <w:szCs w:val="22"/>
          <w:lang w:eastAsia="en-US"/>
        </w:rPr>
        <w:t xml:space="preserve"> </w:t>
      </w:r>
      <w:r w:rsidRPr="006B4DF6">
        <w:rPr>
          <w:rFonts w:ascii="Arial" w:eastAsiaTheme="minorHAnsi" w:hAnsi="Arial" w:cs="Arial"/>
          <w:b/>
          <w:sz w:val="22"/>
          <w:szCs w:val="22"/>
          <w:lang w:eastAsia="en-US"/>
        </w:rPr>
        <w:t xml:space="preserve">n’avait pas enregistré </w:t>
      </w:r>
      <w:r w:rsidR="00F61EE1" w:rsidRPr="006B4DF6">
        <w:rPr>
          <w:rFonts w:ascii="Arial" w:eastAsiaTheme="minorHAnsi" w:hAnsi="Arial" w:cs="Arial"/>
          <w:b/>
          <w:sz w:val="22"/>
          <w:szCs w:val="22"/>
          <w:lang w:eastAsia="en-US"/>
        </w:rPr>
        <w:t xml:space="preserve">un </w:t>
      </w:r>
      <w:r w:rsidR="000A43F7">
        <w:rPr>
          <w:rFonts w:ascii="Arial" w:eastAsiaTheme="minorHAnsi" w:hAnsi="Arial" w:cs="Arial"/>
          <w:b/>
          <w:sz w:val="22"/>
          <w:szCs w:val="22"/>
          <w:lang w:eastAsia="en-US"/>
        </w:rPr>
        <w:t>niveau si bas</w:t>
      </w:r>
      <w:r w:rsidRPr="006B4DF6">
        <w:rPr>
          <w:rFonts w:ascii="Arial" w:eastAsiaTheme="minorHAnsi" w:hAnsi="Arial" w:cs="Arial"/>
          <w:b/>
          <w:sz w:val="22"/>
          <w:szCs w:val="22"/>
          <w:lang w:eastAsia="en-US"/>
        </w:rPr>
        <w:t>. La résistance de la consommation des ménages</w:t>
      </w:r>
      <w:r w:rsidR="00425550" w:rsidRPr="006B4DF6">
        <w:rPr>
          <w:rFonts w:ascii="Arial" w:eastAsiaTheme="minorHAnsi" w:hAnsi="Arial" w:cs="Arial"/>
          <w:b/>
          <w:sz w:val="22"/>
          <w:szCs w:val="22"/>
          <w:lang w:eastAsia="en-US"/>
        </w:rPr>
        <w:t xml:space="preserve"> et</w:t>
      </w:r>
      <w:r w:rsidR="00F61EE1" w:rsidRPr="006B4DF6">
        <w:rPr>
          <w:rFonts w:ascii="Arial" w:eastAsiaTheme="minorHAnsi" w:hAnsi="Arial" w:cs="Arial"/>
          <w:b/>
          <w:sz w:val="22"/>
          <w:szCs w:val="22"/>
          <w:lang w:eastAsia="en-US"/>
        </w:rPr>
        <w:t xml:space="preserve"> la restructuration de certains secteurs</w:t>
      </w:r>
      <w:r w:rsidRPr="006B4DF6">
        <w:rPr>
          <w:rFonts w:ascii="Arial" w:eastAsiaTheme="minorHAnsi" w:hAnsi="Arial" w:cs="Arial"/>
          <w:b/>
          <w:sz w:val="22"/>
          <w:szCs w:val="22"/>
          <w:lang w:eastAsia="en-US"/>
        </w:rPr>
        <w:t xml:space="preserve"> soutien</w:t>
      </w:r>
      <w:r w:rsidR="00425550" w:rsidRPr="006B4DF6">
        <w:rPr>
          <w:rFonts w:ascii="Arial" w:eastAsiaTheme="minorHAnsi" w:hAnsi="Arial" w:cs="Arial"/>
          <w:b/>
          <w:sz w:val="22"/>
          <w:szCs w:val="22"/>
          <w:lang w:eastAsia="en-US"/>
        </w:rPr>
        <w:t>nen</w:t>
      </w:r>
      <w:r w:rsidRPr="006B4DF6">
        <w:rPr>
          <w:rFonts w:ascii="Arial" w:eastAsiaTheme="minorHAnsi" w:hAnsi="Arial" w:cs="Arial"/>
          <w:b/>
          <w:sz w:val="22"/>
          <w:szCs w:val="22"/>
          <w:lang w:eastAsia="en-US"/>
        </w:rPr>
        <w:t>t cette embellie, dans un contexte encore fragile. On remarque cependant une certaine mutation du type d’entreprises défaillante</w:t>
      </w:r>
      <w:r w:rsidR="00E66218" w:rsidRPr="006B4DF6">
        <w:rPr>
          <w:rFonts w:ascii="Arial" w:eastAsiaTheme="minorHAnsi" w:hAnsi="Arial" w:cs="Arial"/>
          <w:b/>
          <w:sz w:val="22"/>
          <w:szCs w:val="22"/>
          <w:lang w:eastAsia="en-US"/>
        </w:rPr>
        <w:t xml:space="preserve">s. </w:t>
      </w:r>
      <w:r w:rsidR="00311987" w:rsidRPr="006B4DF6">
        <w:rPr>
          <w:rFonts w:ascii="Arial" w:eastAsiaTheme="minorHAnsi" w:hAnsi="Arial" w:cs="Arial"/>
          <w:b/>
          <w:sz w:val="22"/>
          <w:szCs w:val="22"/>
          <w:lang w:eastAsia="en-US"/>
        </w:rPr>
        <w:t>Une nouvelle</w:t>
      </w:r>
      <w:r w:rsidR="00F61EE1" w:rsidRPr="006B4DF6">
        <w:rPr>
          <w:rFonts w:ascii="Arial" w:eastAsiaTheme="minorHAnsi" w:hAnsi="Arial" w:cs="Arial"/>
          <w:b/>
          <w:sz w:val="22"/>
          <w:szCs w:val="22"/>
          <w:lang w:eastAsia="en-US"/>
        </w:rPr>
        <w:t xml:space="preserve"> réduction du nombre de défaillance</w:t>
      </w:r>
      <w:r w:rsidR="00425550" w:rsidRPr="006B4DF6">
        <w:rPr>
          <w:rFonts w:ascii="Arial" w:eastAsiaTheme="minorHAnsi" w:hAnsi="Arial" w:cs="Arial"/>
          <w:b/>
          <w:sz w:val="22"/>
          <w:szCs w:val="22"/>
          <w:lang w:eastAsia="en-US"/>
        </w:rPr>
        <w:t>s</w:t>
      </w:r>
      <w:r w:rsidR="00F61EE1" w:rsidRPr="006B4DF6">
        <w:rPr>
          <w:rFonts w:ascii="Arial" w:eastAsiaTheme="minorHAnsi" w:hAnsi="Arial" w:cs="Arial"/>
          <w:b/>
          <w:sz w:val="22"/>
          <w:szCs w:val="22"/>
          <w:lang w:eastAsia="en-US"/>
        </w:rPr>
        <w:t xml:space="preserve"> française</w:t>
      </w:r>
      <w:r w:rsidR="00425550" w:rsidRPr="006B4DF6">
        <w:rPr>
          <w:rFonts w:ascii="Arial" w:eastAsiaTheme="minorHAnsi" w:hAnsi="Arial" w:cs="Arial"/>
          <w:b/>
          <w:sz w:val="22"/>
          <w:szCs w:val="22"/>
          <w:lang w:eastAsia="en-US"/>
        </w:rPr>
        <w:t>s</w:t>
      </w:r>
      <w:r w:rsidR="00F61EE1" w:rsidRPr="006B4DF6">
        <w:rPr>
          <w:rFonts w:ascii="Arial" w:eastAsiaTheme="minorHAnsi" w:hAnsi="Arial" w:cs="Arial"/>
          <w:b/>
          <w:sz w:val="22"/>
          <w:szCs w:val="22"/>
          <w:lang w:eastAsia="en-US"/>
        </w:rPr>
        <w:t xml:space="preserve"> en 2015</w:t>
      </w:r>
      <w:r w:rsidR="00311987" w:rsidRPr="006B4DF6">
        <w:rPr>
          <w:rFonts w:ascii="Arial" w:eastAsiaTheme="minorHAnsi" w:hAnsi="Arial" w:cs="Arial"/>
          <w:b/>
          <w:sz w:val="22"/>
          <w:szCs w:val="22"/>
          <w:lang w:eastAsia="en-US"/>
        </w:rPr>
        <w:t xml:space="preserve"> est attendue</w:t>
      </w:r>
      <w:r w:rsidR="00F61EE1" w:rsidRPr="006B4DF6">
        <w:rPr>
          <w:rFonts w:ascii="Arial" w:eastAsiaTheme="minorHAnsi" w:hAnsi="Arial" w:cs="Arial"/>
          <w:b/>
          <w:sz w:val="22"/>
          <w:szCs w:val="22"/>
          <w:lang w:eastAsia="en-US"/>
        </w:rPr>
        <w:t>, mais seulement modeste.</w:t>
      </w:r>
    </w:p>
    <w:p w14:paraId="7D87CED0" w14:textId="77777777" w:rsidR="00BD52B5" w:rsidRDefault="00BD52B5" w:rsidP="006B4DF6">
      <w:pPr>
        <w:suppressAutoHyphens/>
        <w:spacing w:line="270" w:lineRule="exact"/>
        <w:jc w:val="both"/>
        <w:rPr>
          <w:rFonts w:ascii="Arial" w:eastAsiaTheme="minorHAnsi" w:hAnsi="Arial" w:cs="Arial"/>
          <w:b/>
          <w:sz w:val="20"/>
          <w:szCs w:val="22"/>
          <w:lang w:eastAsia="en-US"/>
        </w:rPr>
      </w:pPr>
    </w:p>
    <w:p w14:paraId="3EA4DB39" w14:textId="77777777" w:rsidR="006B0B55" w:rsidRPr="00BD52B5" w:rsidRDefault="006B0B55" w:rsidP="006B4DF6">
      <w:pPr>
        <w:suppressAutoHyphens/>
        <w:spacing w:line="270" w:lineRule="exact"/>
        <w:jc w:val="both"/>
        <w:rPr>
          <w:rFonts w:ascii="Arial" w:eastAsiaTheme="minorHAnsi" w:hAnsi="Arial" w:cs="Arial"/>
          <w:b/>
          <w:sz w:val="20"/>
          <w:szCs w:val="22"/>
          <w:lang w:eastAsia="en-US"/>
        </w:rPr>
      </w:pPr>
    </w:p>
    <w:p w14:paraId="5E15F64D" w14:textId="6C069FF7" w:rsidR="00BD52B5" w:rsidRPr="006B4DF6" w:rsidRDefault="004A1371" w:rsidP="006B4DF6">
      <w:pPr>
        <w:suppressAutoHyphens/>
        <w:spacing w:line="270" w:lineRule="exact"/>
        <w:jc w:val="both"/>
        <w:rPr>
          <w:rFonts w:ascii="Arial" w:eastAsiaTheme="minorHAnsi" w:hAnsi="Arial" w:cs="Arial"/>
          <w:b/>
          <w:sz w:val="22"/>
          <w:szCs w:val="22"/>
          <w:lang w:eastAsia="en-US"/>
        </w:rPr>
      </w:pPr>
      <w:r w:rsidRPr="006B4DF6">
        <w:rPr>
          <w:rFonts w:ascii="Arial" w:eastAsiaTheme="minorHAnsi" w:hAnsi="Arial" w:cs="Arial"/>
          <w:b/>
          <w:sz w:val="22"/>
          <w:szCs w:val="22"/>
          <w:lang w:eastAsia="en-US"/>
        </w:rPr>
        <w:t>Le plus bas niveau des défaillances d’entreprises enregistré depuis août 2013</w:t>
      </w:r>
    </w:p>
    <w:p w14:paraId="0B96C1D1" w14:textId="77777777" w:rsidR="00BD52B5" w:rsidRPr="00BD52B5" w:rsidRDefault="00BD52B5" w:rsidP="006B4DF6">
      <w:pPr>
        <w:suppressAutoHyphens/>
        <w:spacing w:line="270" w:lineRule="exact"/>
        <w:jc w:val="both"/>
        <w:rPr>
          <w:rFonts w:ascii="Arial" w:eastAsiaTheme="minorHAnsi" w:hAnsi="Arial" w:cs="Arial"/>
          <w:b/>
          <w:sz w:val="20"/>
          <w:szCs w:val="22"/>
          <w:lang w:eastAsia="en-US"/>
        </w:rPr>
      </w:pPr>
    </w:p>
    <w:p w14:paraId="31961A3C" w14:textId="45F59AF2" w:rsidR="00BD52B5" w:rsidRDefault="00BD52B5" w:rsidP="006B4DF6">
      <w:pPr>
        <w:suppressAutoHyphens/>
        <w:spacing w:line="270" w:lineRule="exact"/>
        <w:jc w:val="both"/>
        <w:rPr>
          <w:rFonts w:ascii="Arial" w:eastAsiaTheme="minorHAnsi" w:hAnsi="Arial" w:cs="Arial"/>
          <w:sz w:val="20"/>
          <w:szCs w:val="22"/>
          <w:lang w:eastAsia="en-US"/>
        </w:rPr>
      </w:pPr>
      <w:r w:rsidRPr="00BD52B5">
        <w:rPr>
          <w:rFonts w:ascii="Arial" w:eastAsiaTheme="minorHAnsi" w:hAnsi="Arial" w:cs="Arial"/>
          <w:sz w:val="20"/>
          <w:szCs w:val="22"/>
          <w:lang w:eastAsia="en-US"/>
        </w:rPr>
        <w:t>Cette légère baisse a été portée par plusieurs facteurs. La consommation privée résiste ces derniers mois: malgré une augmentation continue du chômage, elle aug</w:t>
      </w:r>
      <w:r w:rsidR="00425550">
        <w:rPr>
          <w:rFonts w:ascii="Arial" w:eastAsiaTheme="minorHAnsi" w:hAnsi="Arial" w:cs="Arial"/>
          <w:sz w:val="20"/>
          <w:szCs w:val="22"/>
          <w:lang w:eastAsia="en-US"/>
        </w:rPr>
        <w:t>mente de 0,</w:t>
      </w:r>
      <w:r w:rsidRPr="00BD52B5">
        <w:rPr>
          <w:rFonts w:ascii="Arial" w:eastAsiaTheme="minorHAnsi" w:hAnsi="Arial" w:cs="Arial"/>
          <w:sz w:val="20"/>
          <w:szCs w:val="22"/>
          <w:lang w:eastAsia="en-US"/>
        </w:rPr>
        <w:t>6% au troisième trimestre 2014</w:t>
      </w:r>
      <w:r w:rsidR="00530F55">
        <w:rPr>
          <w:rFonts w:ascii="Arial" w:eastAsiaTheme="minorHAnsi" w:hAnsi="Arial" w:cs="Arial"/>
          <w:sz w:val="20"/>
          <w:szCs w:val="22"/>
          <w:lang w:eastAsia="en-US"/>
        </w:rPr>
        <w:t xml:space="preserve"> en a/a</w:t>
      </w:r>
      <w:r w:rsidRPr="00BD52B5">
        <w:rPr>
          <w:rFonts w:ascii="Arial" w:eastAsiaTheme="minorHAnsi" w:hAnsi="Arial" w:cs="Arial"/>
          <w:sz w:val="20"/>
          <w:szCs w:val="22"/>
          <w:lang w:eastAsia="en-US"/>
        </w:rPr>
        <w:t xml:space="preserve">. L’octroi de crédit aux entreprises non-financières </w:t>
      </w:r>
      <w:proofErr w:type="gramStart"/>
      <w:r w:rsidR="00A81EB0">
        <w:rPr>
          <w:rFonts w:ascii="Arial" w:eastAsiaTheme="minorHAnsi" w:hAnsi="Arial" w:cs="Arial"/>
          <w:sz w:val="20"/>
          <w:szCs w:val="22"/>
          <w:lang w:eastAsia="en-US"/>
        </w:rPr>
        <w:t>a</w:t>
      </w:r>
      <w:proofErr w:type="gramEnd"/>
      <w:r w:rsidRPr="00BD52B5">
        <w:rPr>
          <w:rFonts w:ascii="Arial" w:eastAsiaTheme="minorHAnsi" w:hAnsi="Arial" w:cs="Arial"/>
          <w:sz w:val="20"/>
          <w:szCs w:val="22"/>
          <w:lang w:eastAsia="en-US"/>
        </w:rPr>
        <w:t xml:space="preserve"> lui</w:t>
      </w:r>
      <w:r w:rsidR="00530F55">
        <w:rPr>
          <w:rFonts w:ascii="Arial" w:eastAsiaTheme="minorHAnsi" w:hAnsi="Arial" w:cs="Arial"/>
          <w:sz w:val="20"/>
          <w:szCs w:val="22"/>
          <w:lang w:eastAsia="en-US"/>
        </w:rPr>
        <w:t xml:space="preserve"> aussi légèrement accéléré (+0,8</w:t>
      </w:r>
      <w:r w:rsidRPr="00BD52B5">
        <w:rPr>
          <w:rFonts w:ascii="Arial" w:eastAsiaTheme="minorHAnsi" w:hAnsi="Arial" w:cs="Arial"/>
          <w:sz w:val="20"/>
          <w:szCs w:val="22"/>
          <w:lang w:eastAsia="en-US"/>
        </w:rPr>
        <w:t xml:space="preserve">% en rythme annuel à fin </w:t>
      </w:r>
      <w:r w:rsidR="00530F55">
        <w:rPr>
          <w:rFonts w:ascii="Arial" w:eastAsiaTheme="minorHAnsi" w:hAnsi="Arial" w:cs="Arial"/>
          <w:sz w:val="20"/>
          <w:szCs w:val="22"/>
          <w:lang w:eastAsia="en-US"/>
        </w:rPr>
        <w:t>octobre</w:t>
      </w:r>
      <w:r w:rsidRPr="00BD52B5">
        <w:rPr>
          <w:rFonts w:ascii="Arial" w:eastAsiaTheme="minorHAnsi" w:hAnsi="Arial" w:cs="Arial"/>
          <w:sz w:val="20"/>
          <w:szCs w:val="22"/>
          <w:lang w:eastAsia="en-US"/>
        </w:rPr>
        <w:t xml:space="preserve">) et le volume des exportations de biens et services se stabilise (+2% au troisième trimestre). </w:t>
      </w:r>
    </w:p>
    <w:p w14:paraId="7835C943" w14:textId="767E668C" w:rsidR="007375D7" w:rsidRPr="00BD52B5" w:rsidRDefault="007375D7" w:rsidP="006B4DF6">
      <w:pPr>
        <w:suppressAutoHyphens/>
        <w:spacing w:line="270" w:lineRule="exact"/>
        <w:jc w:val="both"/>
        <w:rPr>
          <w:rFonts w:ascii="Arial" w:eastAsiaTheme="minorHAnsi" w:hAnsi="Arial" w:cs="Arial"/>
          <w:sz w:val="20"/>
          <w:szCs w:val="22"/>
          <w:lang w:eastAsia="en-US"/>
        </w:rPr>
      </w:pPr>
    </w:p>
    <w:p w14:paraId="60633982" w14:textId="6885B25F" w:rsidR="00BD52B5" w:rsidRPr="006B0B55" w:rsidRDefault="00F61EE1" w:rsidP="006B4DF6">
      <w:pPr>
        <w:suppressAutoHyphens/>
        <w:spacing w:line="270" w:lineRule="exact"/>
        <w:jc w:val="both"/>
        <w:rPr>
          <w:rFonts w:ascii="Arial" w:eastAsiaTheme="minorHAnsi" w:hAnsi="Arial" w:cs="Arial"/>
          <w:i/>
          <w:sz w:val="20"/>
          <w:szCs w:val="22"/>
          <w:lang w:eastAsia="en-US"/>
        </w:rPr>
      </w:pPr>
      <w:r>
        <w:rPr>
          <w:rFonts w:ascii="Arial" w:eastAsiaTheme="minorHAnsi" w:hAnsi="Arial" w:cs="Arial"/>
          <w:sz w:val="20"/>
          <w:szCs w:val="22"/>
          <w:lang w:eastAsia="en-US"/>
        </w:rPr>
        <w:t>La faiblesse des créations d’</w:t>
      </w:r>
      <w:r w:rsidR="00530F55">
        <w:rPr>
          <w:rFonts w:ascii="Arial" w:eastAsiaTheme="minorHAnsi" w:hAnsi="Arial" w:cs="Arial"/>
          <w:sz w:val="20"/>
          <w:szCs w:val="22"/>
          <w:lang w:eastAsia="en-US"/>
        </w:rPr>
        <w:t>entreprises</w:t>
      </w:r>
      <w:r>
        <w:rPr>
          <w:rFonts w:ascii="Arial" w:eastAsiaTheme="minorHAnsi" w:hAnsi="Arial" w:cs="Arial"/>
          <w:sz w:val="20"/>
          <w:szCs w:val="22"/>
          <w:lang w:eastAsia="en-US"/>
        </w:rPr>
        <w:t xml:space="preserve"> enregistrée</w:t>
      </w:r>
      <w:r w:rsidR="009A5498">
        <w:rPr>
          <w:rFonts w:ascii="Arial" w:eastAsiaTheme="minorHAnsi" w:hAnsi="Arial" w:cs="Arial"/>
          <w:sz w:val="20"/>
          <w:szCs w:val="22"/>
          <w:lang w:eastAsia="en-US"/>
        </w:rPr>
        <w:t>s</w:t>
      </w:r>
      <w:r>
        <w:rPr>
          <w:rFonts w:ascii="Arial" w:eastAsiaTheme="minorHAnsi" w:hAnsi="Arial" w:cs="Arial"/>
          <w:sz w:val="20"/>
          <w:szCs w:val="22"/>
          <w:lang w:eastAsia="en-US"/>
        </w:rPr>
        <w:t xml:space="preserve"> </w:t>
      </w:r>
      <w:r w:rsidR="003C1382">
        <w:rPr>
          <w:rFonts w:ascii="Arial" w:eastAsiaTheme="minorHAnsi" w:hAnsi="Arial" w:cs="Arial"/>
          <w:sz w:val="20"/>
          <w:szCs w:val="22"/>
          <w:lang w:eastAsia="en-US"/>
        </w:rPr>
        <w:t xml:space="preserve">jusqu’à fin 2012 participe également à </w:t>
      </w:r>
      <w:r w:rsidR="00BD52B5" w:rsidRPr="00BD52B5">
        <w:rPr>
          <w:rFonts w:ascii="Arial" w:eastAsiaTheme="minorHAnsi" w:hAnsi="Arial" w:cs="Arial"/>
          <w:sz w:val="20"/>
          <w:szCs w:val="22"/>
          <w:lang w:eastAsia="en-US"/>
        </w:rPr>
        <w:t>limite</w:t>
      </w:r>
      <w:r w:rsidR="003C1382">
        <w:rPr>
          <w:rFonts w:ascii="Arial" w:eastAsiaTheme="minorHAnsi" w:hAnsi="Arial" w:cs="Arial"/>
          <w:sz w:val="20"/>
          <w:szCs w:val="22"/>
          <w:lang w:eastAsia="en-US"/>
        </w:rPr>
        <w:t>r</w:t>
      </w:r>
      <w:r w:rsidR="00BD52B5" w:rsidRPr="00BD52B5">
        <w:rPr>
          <w:rFonts w:ascii="Arial" w:eastAsiaTheme="minorHAnsi" w:hAnsi="Arial" w:cs="Arial"/>
          <w:sz w:val="20"/>
          <w:szCs w:val="22"/>
          <w:lang w:eastAsia="en-US"/>
        </w:rPr>
        <w:t xml:space="preserve"> le nombre de défaillances possible</w:t>
      </w:r>
      <w:r w:rsidR="003A6121">
        <w:rPr>
          <w:rFonts w:ascii="Arial" w:eastAsiaTheme="minorHAnsi" w:hAnsi="Arial" w:cs="Arial"/>
          <w:sz w:val="20"/>
          <w:szCs w:val="22"/>
          <w:lang w:eastAsia="en-US"/>
        </w:rPr>
        <w:t>s</w:t>
      </w:r>
      <w:r w:rsidR="00BD52B5" w:rsidRPr="00BD52B5">
        <w:rPr>
          <w:rFonts w:ascii="Arial" w:eastAsiaTheme="minorHAnsi" w:hAnsi="Arial" w:cs="Arial"/>
          <w:sz w:val="20"/>
          <w:szCs w:val="22"/>
          <w:lang w:eastAsia="en-US"/>
        </w:rPr>
        <w:t xml:space="preserve"> </w:t>
      </w:r>
      <w:r w:rsidR="003C1382">
        <w:rPr>
          <w:rFonts w:ascii="Arial" w:eastAsiaTheme="minorHAnsi" w:hAnsi="Arial" w:cs="Arial"/>
          <w:sz w:val="20"/>
          <w:szCs w:val="22"/>
          <w:lang w:eastAsia="en-US"/>
        </w:rPr>
        <w:t>(on estime que le</w:t>
      </w:r>
      <w:r w:rsidR="00BD52B5" w:rsidRPr="00BD52B5">
        <w:rPr>
          <w:rFonts w:ascii="Arial" w:eastAsiaTheme="minorHAnsi" w:hAnsi="Arial" w:cs="Arial"/>
          <w:sz w:val="20"/>
          <w:szCs w:val="22"/>
          <w:lang w:eastAsia="en-US"/>
        </w:rPr>
        <w:t xml:space="preserve"> </w:t>
      </w:r>
      <w:r w:rsidR="003C1382">
        <w:rPr>
          <w:rFonts w:ascii="Arial" w:eastAsiaTheme="minorHAnsi" w:hAnsi="Arial" w:cs="Arial"/>
          <w:sz w:val="20"/>
          <w:szCs w:val="22"/>
          <w:lang w:eastAsia="en-US"/>
        </w:rPr>
        <w:t xml:space="preserve">risque de défaut </w:t>
      </w:r>
      <w:r w:rsidR="003C1382" w:rsidRPr="00BD52B5">
        <w:rPr>
          <w:rFonts w:ascii="Arial" w:eastAsiaTheme="minorHAnsi" w:hAnsi="Arial" w:cs="Arial"/>
          <w:sz w:val="20"/>
          <w:szCs w:val="22"/>
          <w:lang w:eastAsia="en-US"/>
        </w:rPr>
        <w:t xml:space="preserve">d’une entreprise </w:t>
      </w:r>
      <w:r w:rsidR="003C1382">
        <w:rPr>
          <w:rFonts w:ascii="Arial" w:eastAsiaTheme="minorHAnsi" w:hAnsi="Arial" w:cs="Arial"/>
          <w:sz w:val="20"/>
          <w:szCs w:val="22"/>
          <w:lang w:eastAsia="en-US"/>
        </w:rPr>
        <w:t>est le plus élevé entre un et trois ans d’existence).</w:t>
      </w:r>
      <w:r w:rsidR="00D71409">
        <w:rPr>
          <w:rFonts w:ascii="Arial" w:eastAsiaTheme="minorHAnsi" w:hAnsi="Arial" w:cs="Arial"/>
          <w:sz w:val="20"/>
          <w:szCs w:val="22"/>
          <w:lang w:eastAsia="en-US"/>
        </w:rPr>
        <w:t xml:space="preserve"> </w:t>
      </w:r>
      <w:r w:rsidR="00BD52B5" w:rsidRPr="00BD52B5">
        <w:rPr>
          <w:rFonts w:ascii="Arial" w:eastAsiaTheme="minorHAnsi" w:hAnsi="Arial" w:cs="Arial"/>
          <w:sz w:val="20"/>
          <w:szCs w:val="22"/>
          <w:lang w:eastAsia="en-US"/>
        </w:rPr>
        <w:t xml:space="preserve">Enfin, certains secteurs </w:t>
      </w:r>
      <w:r w:rsidR="00D14635">
        <w:rPr>
          <w:rFonts w:ascii="Arial" w:eastAsiaTheme="minorHAnsi" w:hAnsi="Arial" w:cs="Arial"/>
          <w:sz w:val="20"/>
          <w:szCs w:val="22"/>
          <w:lang w:eastAsia="en-US"/>
        </w:rPr>
        <w:t>se sont restructurés</w:t>
      </w:r>
      <w:r w:rsidR="00087554">
        <w:rPr>
          <w:rFonts w:ascii="Arial" w:eastAsiaTheme="minorHAnsi" w:hAnsi="Arial" w:cs="Arial"/>
          <w:sz w:val="20"/>
          <w:szCs w:val="22"/>
          <w:lang w:eastAsia="en-US"/>
        </w:rPr>
        <w:t>,</w:t>
      </w:r>
      <w:r w:rsidR="00D14635">
        <w:rPr>
          <w:rFonts w:ascii="Arial" w:eastAsiaTheme="minorHAnsi" w:hAnsi="Arial" w:cs="Arial"/>
          <w:sz w:val="20"/>
          <w:szCs w:val="22"/>
          <w:lang w:eastAsia="en-US"/>
        </w:rPr>
        <w:t xml:space="preserve"> </w:t>
      </w:r>
      <w:r w:rsidR="00087554">
        <w:rPr>
          <w:rFonts w:ascii="Arial" w:eastAsiaTheme="minorHAnsi" w:hAnsi="Arial" w:cs="Arial"/>
          <w:sz w:val="20"/>
          <w:szCs w:val="22"/>
          <w:lang w:eastAsia="en-US"/>
        </w:rPr>
        <w:t xml:space="preserve">notamment via </w:t>
      </w:r>
      <w:r w:rsidR="009A5498">
        <w:rPr>
          <w:rFonts w:ascii="Arial" w:eastAsiaTheme="minorHAnsi" w:hAnsi="Arial" w:cs="Arial"/>
          <w:sz w:val="20"/>
          <w:szCs w:val="22"/>
          <w:lang w:eastAsia="en-US"/>
        </w:rPr>
        <w:t>des mouvements de concentration</w:t>
      </w:r>
      <w:r w:rsidR="00087554">
        <w:rPr>
          <w:rFonts w:ascii="Arial" w:eastAsiaTheme="minorHAnsi" w:hAnsi="Arial" w:cs="Arial"/>
          <w:sz w:val="20"/>
          <w:szCs w:val="22"/>
          <w:lang w:eastAsia="en-US"/>
        </w:rPr>
        <w:t>, ce qui limite le nombre d’entreprises fragiles. C</w:t>
      </w:r>
      <w:r w:rsidR="00756870">
        <w:rPr>
          <w:rFonts w:ascii="Arial" w:eastAsiaTheme="minorHAnsi" w:hAnsi="Arial" w:cs="Arial"/>
          <w:sz w:val="20"/>
          <w:szCs w:val="22"/>
          <w:lang w:eastAsia="en-US"/>
        </w:rPr>
        <w:t xml:space="preserve">’est le cas </w:t>
      </w:r>
      <w:r w:rsidR="00BD52B5" w:rsidRPr="00BD52B5">
        <w:rPr>
          <w:rFonts w:ascii="Arial" w:eastAsiaTheme="minorHAnsi" w:hAnsi="Arial" w:cs="Arial"/>
          <w:sz w:val="20"/>
          <w:szCs w:val="22"/>
          <w:lang w:eastAsia="en-US"/>
        </w:rPr>
        <w:t xml:space="preserve">de l’automobile ou des </w:t>
      </w:r>
      <w:r w:rsidR="003C1382" w:rsidRPr="00BD52B5">
        <w:rPr>
          <w:rFonts w:ascii="Arial" w:eastAsiaTheme="minorHAnsi" w:hAnsi="Arial" w:cs="Arial"/>
          <w:sz w:val="20"/>
          <w:szCs w:val="22"/>
          <w:lang w:eastAsia="en-US"/>
        </w:rPr>
        <w:t>transports</w:t>
      </w:r>
      <w:r w:rsidR="00087554">
        <w:rPr>
          <w:rFonts w:ascii="Arial" w:eastAsiaTheme="minorHAnsi" w:hAnsi="Arial" w:cs="Arial"/>
          <w:sz w:val="20"/>
          <w:szCs w:val="22"/>
          <w:lang w:eastAsia="en-US"/>
        </w:rPr>
        <w:t>.</w:t>
      </w:r>
      <w:r w:rsidR="00A81EB0" w:rsidRPr="00A81EB0">
        <w:rPr>
          <w:noProof/>
        </w:rPr>
        <w:t xml:space="preserve"> </w:t>
      </w:r>
    </w:p>
    <w:p w14:paraId="59A22291" w14:textId="1E09041E" w:rsidR="00BD52B5" w:rsidRPr="00BD52B5" w:rsidRDefault="00BD52B5" w:rsidP="006B4DF6">
      <w:pPr>
        <w:suppressAutoHyphens/>
        <w:spacing w:line="270" w:lineRule="exact"/>
        <w:jc w:val="both"/>
        <w:rPr>
          <w:rFonts w:ascii="Arial" w:eastAsiaTheme="minorHAnsi" w:hAnsi="Arial" w:cs="Arial"/>
          <w:sz w:val="20"/>
          <w:szCs w:val="22"/>
          <w:lang w:eastAsia="en-US"/>
        </w:rPr>
      </w:pPr>
    </w:p>
    <w:p w14:paraId="3C14F58F" w14:textId="301053F2" w:rsidR="00BD52B5" w:rsidRPr="006B4DF6" w:rsidRDefault="00BD52B5" w:rsidP="006B4DF6">
      <w:pPr>
        <w:suppressAutoHyphens/>
        <w:spacing w:line="270" w:lineRule="exact"/>
        <w:jc w:val="both"/>
        <w:rPr>
          <w:rFonts w:ascii="Arial" w:eastAsiaTheme="minorHAnsi" w:hAnsi="Arial" w:cs="Arial"/>
          <w:b/>
          <w:sz w:val="22"/>
          <w:szCs w:val="22"/>
          <w:lang w:eastAsia="en-US"/>
        </w:rPr>
      </w:pPr>
      <w:r w:rsidRPr="006B4DF6">
        <w:rPr>
          <w:rFonts w:ascii="Arial" w:eastAsiaTheme="minorHAnsi" w:hAnsi="Arial" w:cs="Arial"/>
          <w:b/>
          <w:sz w:val="22"/>
          <w:szCs w:val="22"/>
          <w:lang w:eastAsia="en-US"/>
        </w:rPr>
        <w:t xml:space="preserve">Des disparités entre les secteurs mais une tendance à la fragilité </w:t>
      </w:r>
    </w:p>
    <w:p w14:paraId="0B1D4379" w14:textId="77777777" w:rsidR="00BD52B5" w:rsidRPr="00BD52B5" w:rsidRDefault="00BD52B5" w:rsidP="006B4DF6">
      <w:pPr>
        <w:suppressAutoHyphens/>
        <w:spacing w:line="270" w:lineRule="exact"/>
        <w:jc w:val="both"/>
        <w:rPr>
          <w:rFonts w:ascii="Arial" w:eastAsiaTheme="minorHAnsi" w:hAnsi="Arial" w:cs="Arial"/>
          <w:b/>
          <w:sz w:val="20"/>
          <w:szCs w:val="22"/>
          <w:lang w:eastAsia="en-US"/>
        </w:rPr>
      </w:pPr>
    </w:p>
    <w:p w14:paraId="7CB2283C" w14:textId="2736C499" w:rsidR="00BD52B5" w:rsidRDefault="000E33E9"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L</w:t>
      </w:r>
      <w:r w:rsidR="00BD52B5" w:rsidRPr="00BD52B5">
        <w:rPr>
          <w:rFonts w:ascii="Arial" w:eastAsiaTheme="minorHAnsi" w:hAnsi="Arial" w:cs="Arial"/>
          <w:sz w:val="20"/>
          <w:szCs w:val="22"/>
          <w:lang w:eastAsia="en-US"/>
        </w:rPr>
        <w:t>es défaillances</w:t>
      </w:r>
      <w:r w:rsidR="003A6121">
        <w:rPr>
          <w:rFonts w:ascii="Arial" w:eastAsiaTheme="minorHAnsi" w:hAnsi="Arial" w:cs="Arial"/>
          <w:sz w:val="20"/>
          <w:szCs w:val="22"/>
          <w:lang w:eastAsia="en-US"/>
        </w:rPr>
        <w:t xml:space="preserve"> d’entreprises</w:t>
      </w:r>
      <w:r w:rsidR="00BD52B5" w:rsidRPr="00BD52B5">
        <w:rPr>
          <w:rFonts w:ascii="Arial" w:eastAsiaTheme="minorHAnsi" w:hAnsi="Arial" w:cs="Arial"/>
          <w:sz w:val="20"/>
          <w:szCs w:val="22"/>
          <w:lang w:eastAsia="en-US"/>
        </w:rPr>
        <w:t xml:space="preserve"> dans la construction diminuent de 0,8% (à fin octobre 2014). Mais cet</w:t>
      </w:r>
      <w:r w:rsidR="003A6121">
        <w:rPr>
          <w:rFonts w:ascii="Arial" w:eastAsiaTheme="minorHAnsi" w:hAnsi="Arial" w:cs="Arial"/>
          <w:sz w:val="20"/>
          <w:szCs w:val="22"/>
          <w:lang w:eastAsia="en-US"/>
        </w:rPr>
        <w:t xml:space="preserve">te amélioration </w:t>
      </w:r>
      <w:r w:rsidR="00F61EE1">
        <w:rPr>
          <w:rFonts w:ascii="Arial" w:eastAsiaTheme="minorHAnsi" w:hAnsi="Arial" w:cs="Arial"/>
          <w:sz w:val="20"/>
          <w:szCs w:val="22"/>
          <w:lang w:eastAsia="en-US"/>
        </w:rPr>
        <w:t>cache</w:t>
      </w:r>
      <w:r w:rsidR="00BD52B5" w:rsidRPr="00BD52B5">
        <w:rPr>
          <w:rFonts w:ascii="Arial" w:eastAsiaTheme="minorHAnsi" w:hAnsi="Arial" w:cs="Arial"/>
          <w:sz w:val="20"/>
          <w:szCs w:val="22"/>
          <w:lang w:eastAsia="en-US"/>
        </w:rPr>
        <w:t xml:space="preserve"> l’augmentation </w:t>
      </w:r>
      <w:r w:rsidR="00F61EE1">
        <w:rPr>
          <w:rFonts w:ascii="Arial" w:eastAsiaTheme="minorHAnsi" w:hAnsi="Arial" w:cs="Arial"/>
          <w:sz w:val="20"/>
          <w:szCs w:val="22"/>
          <w:lang w:eastAsia="en-US"/>
        </w:rPr>
        <w:t>massive</w:t>
      </w:r>
      <w:r w:rsidR="00F61EE1" w:rsidRPr="00BD52B5">
        <w:rPr>
          <w:rFonts w:ascii="Arial" w:eastAsiaTheme="minorHAnsi" w:hAnsi="Arial" w:cs="Arial"/>
          <w:sz w:val="20"/>
          <w:szCs w:val="22"/>
          <w:lang w:eastAsia="en-US"/>
        </w:rPr>
        <w:t xml:space="preserve"> </w:t>
      </w:r>
      <w:r w:rsidR="00BD52B5" w:rsidRPr="00BD52B5">
        <w:rPr>
          <w:rFonts w:ascii="Arial" w:eastAsiaTheme="minorHAnsi" w:hAnsi="Arial" w:cs="Arial"/>
          <w:sz w:val="20"/>
          <w:szCs w:val="22"/>
          <w:lang w:eastAsia="en-US"/>
        </w:rPr>
        <w:t>des coûts associés</w:t>
      </w:r>
      <w:r w:rsidR="00F61EE1">
        <w:rPr>
          <w:rFonts w:ascii="Arial" w:eastAsiaTheme="minorHAnsi" w:hAnsi="Arial" w:cs="Arial"/>
          <w:sz w:val="20"/>
          <w:szCs w:val="22"/>
          <w:lang w:eastAsia="en-US"/>
        </w:rPr>
        <w:t xml:space="preserve"> (</w:t>
      </w:r>
      <w:r>
        <w:rPr>
          <w:rFonts w:ascii="Arial" w:eastAsiaTheme="minorHAnsi" w:hAnsi="Arial" w:cs="Arial"/>
          <w:sz w:val="20"/>
          <w:szCs w:val="22"/>
          <w:lang w:eastAsia="en-US"/>
        </w:rPr>
        <w:t xml:space="preserve">cumul des </w:t>
      </w:r>
      <w:r w:rsidR="00F61EE1">
        <w:rPr>
          <w:rFonts w:ascii="Arial" w:eastAsiaTheme="minorHAnsi" w:hAnsi="Arial" w:cs="Arial"/>
          <w:sz w:val="20"/>
          <w:szCs w:val="22"/>
          <w:lang w:eastAsia="en-US"/>
        </w:rPr>
        <w:t>dette</w:t>
      </w:r>
      <w:r>
        <w:rPr>
          <w:rFonts w:ascii="Arial" w:eastAsiaTheme="minorHAnsi" w:hAnsi="Arial" w:cs="Arial"/>
          <w:sz w:val="20"/>
          <w:szCs w:val="22"/>
          <w:lang w:eastAsia="en-US"/>
        </w:rPr>
        <w:t>s</w:t>
      </w:r>
      <w:r w:rsidR="00F61EE1">
        <w:rPr>
          <w:rFonts w:ascii="Arial" w:eastAsiaTheme="minorHAnsi" w:hAnsi="Arial" w:cs="Arial"/>
          <w:sz w:val="20"/>
          <w:szCs w:val="22"/>
          <w:lang w:eastAsia="en-US"/>
        </w:rPr>
        <w:t xml:space="preserve"> fournisseur</w:t>
      </w:r>
      <w:r>
        <w:rPr>
          <w:rFonts w:ascii="Arial" w:eastAsiaTheme="minorHAnsi" w:hAnsi="Arial" w:cs="Arial"/>
          <w:sz w:val="20"/>
          <w:szCs w:val="22"/>
          <w:lang w:eastAsia="en-US"/>
        </w:rPr>
        <w:t>s</w:t>
      </w:r>
      <w:r w:rsidR="00F61EE1">
        <w:rPr>
          <w:rFonts w:ascii="Arial" w:eastAsiaTheme="minorHAnsi" w:hAnsi="Arial" w:cs="Arial"/>
          <w:sz w:val="20"/>
          <w:szCs w:val="22"/>
          <w:lang w:eastAsia="en-US"/>
        </w:rPr>
        <w:t xml:space="preserve"> des entreprises défaillantes)</w:t>
      </w:r>
      <w:r w:rsidR="00BD52B5" w:rsidRPr="00BD52B5">
        <w:rPr>
          <w:rFonts w:ascii="Arial" w:eastAsiaTheme="minorHAnsi" w:hAnsi="Arial" w:cs="Arial"/>
          <w:sz w:val="20"/>
          <w:szCs w:val="22"/>
          <w:lang w:eastAsia="en-US"/>
        </w:rPr>
        <w:t xml:space="preserve"> de 51%. </w:t>
      </w:r>
      <w:r w:rsidR="00756870">
        <w:rPr>
          <w:rFonts w:ascii="Arial" w:eastAsiaTheme="minorHAnsi" w:hAnsi="Arial" w:cs="Arial"/>
          <w:sz w:val="20"/>
          <w:szCs w:val="22"/>
          <w:lang w:eastAsia="en-US"/>
        </w:rPr>
        <w:t>Ce secteur</w:t>
      </w:r>
      <w:r w:rsidR="00BD52B5" w:rsidRPr="00BD52B5">
        <w:rPr>
          <w:rFonts w:ascii="Arial" w:eastAsiaTheme="minorHAnsi" w:hAnsi="Arial" w:cs="Arial"/>
          <w:sz w:val="20"/>
          <w:szCs w:val="22"/>
          <w:lang w:eastAsia="en-US"/>
        </w:rPr>
        <w:t xml:space="preserve"> souffre d’une réduction des dépenses des ménages pour les travaux « se</w:t>
      </w:r>
      <w:r w:rsidR="00756870">
        <w:rPr>
          <w:rFonts w:ascii="Arial" w:eastAsiaTheme="minorHAnsi" w:hAnsi="Arial" w:cs="Arial"/>
          <w:sz w:val="20"/>
          <w:szCs w:val="22"/>
          <w:lang w:eastAsia="en-US"/>
        </w:rPr>
        <w:t xml:space="preserve">condaires » et d’une frilosité </w:t>
      </w:r>
      <w:r w:rsidR="00F61EE1">
        <w:rPr>
          <w:rFonts w:ascii="Arial" w:eastAsiaTheme="minorHAnsi" w:hAnsi="Arial" w:cs="Arial"/>
          <w:sz w:val="20"/>
          <w:szCs w:val="22"/>
          <w:lang w:eastAsia="en-US"/>
        </w:rPr>
        <w:t>de</w:t>
      </w:r>
      <w:r w:rsidR="007C1A9C">
        <w:rPr>
          <w:rFonts w:ascii="Arial" w:eastAsiaTheme="minorHAnsi" w:hAnsi="Arial" w:cs="Arial"/>
          <w:sz w:val="20"/>
          <w:szCs w:val="22"/>
          <w:lang w:eastAsia="en-US"/>
        </w:rPr>
        <w:t xml:space="preserve"> l’investissement.</w:t>
      </w:r>
    </w:p>
    <w:p w14:paraId="615F24AA" w14:textId="103F74E9" w:rsidR="00756870" w:rsidRPr="00BD52B5" w:rsidRDefault="00756870" w:rsidP="006B4DF6">
      <w:pPr>
        <w:suppressAutoHyphens/>
        <w:spacing w:line="270" w:lineRule="exact"/>
        <w:jc w:val="both"/>
        <w:rPr>
          <w:rFonts w:ascii="Arial" w:eastAsiaTheme="minorHAnsi" w:hAnsi="Arial" w:cs="Arial"/>
          <w:sz w:val="20"/>
          <w:szCs w:val="22"/>
          <w:lang w:eastAsia="en-US"/>
        </w:rPr>
      </w:pPr>
    </w:p>
    <w:p w14:paraId="41C46520" w14:textId="1A0E887E" w:rsidR="006B4DF6" w:rsidRPr="00BD52B5" w:rsidRDefault="00F61EE1"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Le</w:t>
      </w:r>
      <w:r w:rsidR="007E1D92">
        <w:rPr>
          <w:rFonts w:ascii="Arial" w:eastAsiaTheme="minorHAnsi" w:hAnsi="Arial" w:cs="Arial"/>
          <w:sz w:val="20"/>
          <w:szCs w:val="22"/>
          <w:lang w:eastAsia="en-US"/>
        </w:rPr>
        <w:t xml:space="preserve"> secteur </w:t>
      </w:r>
      <w:r w:rsidR="00BD52B5" w:rsidRPr="00BD52B5">
        <w:rPr>
          <w:rFonts w:ascii="Arial" w:eastAsiaTheme="minorHAnsi" w:hAnsi="Arial" w:cs="Arial"/>
          <w:sz w:val="20"/>
          <w:szCs w:val="22"/>
          <w:lang w:eastAsia="en-US"/>
        </w:rPr>
        <w:t xml:space="preserve">de l’agroalimentaire </w:t>
      </w:r>
      <w:r>
        <w:rPr>
          <w:rFonts w:ascii="Arial" w:eastAsiaTheme="minorHAnsi" w:hAnsi="Arial" w:cs="Arial"/>
          <w:sz w:val="20"/>
          <w:szCs w:val="22"/>
          <w:lang w:eastAsia="en-US"/>
        </w:rPr>
        <w:t>enregistre une hausse préoccupante de ses défaillances</w:t>
      </w:r>
      <w:r w:rsidR="006B4DF6">
        <w:rPr>
          <w:rFonts w:ascii="Arial" w:eastAsiaTheme="minorHAnsi" w:hAnsi="Arial" w:cs="Arial"/>
          <w:sz w:val="20"/>
          <w:szCs w:val="22"/>
          <w:lang w:eastAsia="en-US"/>
        </w:rPr>
        <w:t>.</w:t>
      </w:r>
    </w:p>
    <w:p w14:paraId="7AF1394C" w14:textId="17A19635" w:rsidR="00BD52B5" w:rsidRPr="00BD52B5" w:rsidRDefault="000E33E9"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 </w:t>
      </w:r>
      <w:r w:rsidR="00F61EE1" w:rsidRPr="006B4DF6">
        <w:rPr>
          <w:rFonts w:ascii="Arial" w:eastAsiaTheme="minorHAnsi" w:hAnsi="Arial" w:cs="Arial"/>
          <w:i/>
          <w:sz w:val="20"/>
          <w:szCs w:val="22"/>
          <w:lang w:eastAsia="en-US"/>
        </w:rPr>
        <w:t>La</w:t>
      </w:r>
      <w:r w:rsidR="00BD52B5" w:rsidRPr="006B4DF6">
        <w:rPr>
          <w:rFonts w:ascii="Arial" w:eastAsiaTheme="minorHAnsi" w:hAnsi="Arial" w:cs="Arial"/>
          <w:i/>
          <w:sz w:val="20"/>
          <w:szCs w:val="22"/>
          <w:lang w:eastAsia="en-US"/>
        </w:rPr>
        <w:t xml:space="preserve"> concurrence accrue entre les distributeurs </w:t>
      </w:r>
      <w:r w:rsidR="00756870">
        <w:rPr>
          <w:rFonts w:ascii="Arial" w:eastAsiaTheme="minorHAnsi" w:hAnsi="Arial" w:cs="Arial"/>
          <w:i/>
          <w:sz w:val="20"/>
          <w:szCs w:val="22"/>
          <w:lang w:eastAsia="en-US"/>
        </w:rPr>
        <w:t>les incitent à réduire les prix. L</w:t>
      </w:r>
      <w:r w:rsidR="00BD52B5" w:rsidRPr="006B4DF6">
        <w:rPr>
          <w:rFonts w:ascii="Arial" w:eastAsiaTheme="minorHAnsi" w:hAnsi="Arial" w:cs="Arial"/>
          <w:i/>
          <w:sz w:val="20"/>
          <w:szCs w:val="22"/>
          <w:lang w:eastAsia="en-US"/>
        </w:rPr>
        <w:t>es producteurs doivent alors réduire leurs marges pour survivre</w:t>
      </w:r>
      <w:r w:rsidR="009A0E8E">
        <w:rPr>
          <w:rFonts w:ascii="Arial" w:eastAsiaTheme="minorHAnsi" w:hAnsi="Arial" w:cs="Arial"/>
          <w:i/>
          <w:sz w:val="20"/>
          <w:szCs w:val="22"/>
          <w:lang w:eastAsia="en-US"/>
        </w:rPr>
        <w:t>,</w:t>
      </w:r>
      <w:r w:rsidR="00BD52B5" w:rsidRPr="006B4DF6">
        <w:rPr>
          <w:rFonts w:ascii="Arial" w:eastAsiaTheme="minorHAnsi" w:hAnsi="Arial" w:cs="Arial"/>
          <w:i/>
          <w:sz w:val="20"/>
          <w:szCs w:val="22"/>
          <w:lang w:eastAsia="en-US"/>
        </w:rPr>
        <w:t> </w:t>
      </w:r>
      <w:r w:rsidRPr="006B4DF6">
        <w:rPr>
          <w:rFonts w:ascii="Arial" w:eastAsiaTheme="minorHAnsi" w:hAnsi="Arial" w:cs="Arial"/>
          <w:i/>
          <w:sz w:val="20"/>
          <w:szCs w:val="22"/>
          <w:lang w:eastAsia="en-US"/>
        </w:rPr>
        <w:t>et ce sont les</w:t>
      </w:r>
      <w:r w:rsidR="00756870">
        <w:rPr>
          <w:rFonts w:ascii="Arial" w:eastAsiaTheme="minorHAnsi" w:hAnsi="Arial" w:cs="Arial"/>
          <w:i/>
          <w:sz w:val="20"/>
          <w:szCs w:val="22"/>
          <w:lang w:eastAsia="en-US"/>
        </w:rPr>
        <w:t xml:space="preserve"> entreprises en amont de la chaî</w:t>
      </w:r>
      <w:r w:rsidRPr="006B4DF6">
        <w:rPr>
          <w:rFonts w:ascii="Arial" w:eastAsiaTheme="minorHAnsi" w:hAnsi="Arial" w:cs="Arial"/>
          <w:i/>
          <w:sz w:val="20"/>
          <w:szCs w:val="22"/>
          <w:lang w:eastAsia="en-US"/>
        </w:rPr>
        <w:t>ne de valeur qui en souffrent le plus</w:t>
      </w:r>
      <w:r w:rsidR="006B4DF6">
        <w:rPr>
          <w:rFonts w:ascii="Arial" w:eastAsiaTheme="minorHAnsi" w:hAnsi="Arial" w:cs="Arial"/>
          <w:sz w:val="20"/>
          <w:szCs w:val="22"/>
          <w:lang w:eastAsia="en-US"/>
        </w:rPr>
        <w:t xml:space="preserve">. </w:t>
      </w:r>
      <w:r w:rsidR="006B4DF6" w:rsidRPr="006B4DF6">
        <w:rPr>
          <w:rFonts w:ascii="Arial" w:eastAsiaTheme="minorHAnsi" w:hAnsi="Arial" w:cs="Arial"/>
          <w:i/>
          <w:sz w:val="20"/>
          <w:szCs w:val="22"/>
          <w:lang w:eastAsia="en-US"/>
        </w:rPr>
        <w:t>Ainsi, les dé</w:t>
      </w:r>
      <w:r w:rsidR="009A5498">
        <w:rPr>
          <w:rFonts w:ascii="Arial" w:eastAsiaTheme="minorHAnsi" w:hAnsi="Arial" w:cs="Arial"/>
          <w:i/>
          <w:sz w:val="20"/>
          <w:szCs w:val="22"/>
          <w:lang w:eastAsia="en-US"/>
        </w:rPr>
        <w:t>faillances de l’agroalimentaire</w:t>
      </w:r>
      <w:r w:rsidR="006B4DF6" w:rsidRPr="006B4DF6">
        <w:rPr>
          <w:rFonts w:ascii="Arial" w:eastAsiaTheme="minorHAnsi" w:hAnsi="Arial" w:cs="Arial"/>
          <w:i/>
          <w:sz w:val="20"/>
          <w:szCs w:val="22"/>
          <w:lang w:eastAsia="en-US"/>
        </w:rPr>
        <w:t xml:space="preserve"> augmentent de </w:t>
      </w:r>
      <w:r w:rsidR="00756870">
        <w:rPr>
          <w:rFonts w:ascii="Arial" w:eastAsiaTheme="minorHAnsi" w:hAnsi="Arial" w:cs="Arial"/>
          <w:i/>
          <w:sz w:val="20"/>
          <w:szCs w:val="22"/>
          <w:lang w:eastAsia="en-US"/>
        </w:rPr>
        <w:t>+</w:t>
      </w:r>
      <w:r w:rsidR="006B4DF6" w:rsidRPr="006B4DF6">
        <w:rPr>
          <w:rFonts w:ascii="Arial" w:eastAsiaTheme="minorHAnsi" w:hAnsi="Arial" w:cs="Arial"/>
          <w:i/>
          <w:sz w:val="20"/>
          <w:szCs w:val="22"/>
          <w:lang w:eastAsia="en-US"/>
        </w:rPr>
        <w:t>2,7% en octobre</w:t>
      </w:r>
      <w:r w:rsidR="00756870">
        <w:rPr>
          <w:rFonts w:ascii="Arial" w:eastAsiaTheme="minorHAnsi" w:hAnsi="Arial" w:cs="Arial"/>
          <w:i/>
          <w:sz w:val="20"/>
          <w:szCs w:val="22"/>
          <w:lang w:eastAsia="en-US"/>
        </w:rPr>
        <w:t>,</w:t>
      </w:r>
      <w:r w:rsidR="006B4DF6" w:rsidRPr="006B4DF6">
        <w:rPr>
          <w:rFonts w:ascii="Arial" w:eastAsiaTheme="minorHAnsi" w:hAnsi="Arial" w:cs="Arial"/>
          <w:i/>
          <w:sz w:val="20"/>
          <w:szCs w:val="22"/>
          <w:lang w:eastAsia="en-US"/>
        </w:rPr>
        <w:t xml:space="preserve"> sur un an</w:t>
      </w:r>
      <w:r w:rsidR="006B4DF6">
        <w:rPr>
          <w:rFonts w:ascii="Arial" w:eastAsiaTheme="minorHAnsi" w:hAnsi="Arial" w:cs="Arial"/>
          <w:sz w:val="20"/>
          <w:szCs w:val="22"/>
          <w:lang w:eastAsia="en-US"/>
        </w:rPr>
        <w:t> »,</w:t>
      </w:r>
      <w:r w:rsidR="00BD52B5" w:rsidRPr="00BD52B5">
        <w:rPr>
          <w:rFonts w:ascii="Arial" w:eastAsiaTheme="minorHAnsi" w:hAnsi="Arial" w:cs="Arial"/>
          <w:sz w:val="20"/>
          <w:szCs w:val="22"/>
          <w:lang w:eastAsia="en-US"/>
        </w:rPr>
        <w:t xml:space="preserve"> </w:t>
      </w:r>
      <w:r w:rsidR="00F61EE1">
        <w:rPr>
          <w:rFonts w:ascii="Arial" w:eastAsiaTheme="minorHAnsi" w:hAnsi="Arial" w:cs="Arial"/>
          <w:sz w:val="20"/>
          <w:szCs w:val="22"/>
          <w:lang w:eastAsia="en-US"/>
        </w:rPr>
        <w:t xml:space="preserve">précise Guillaume </w:t>
      </w:r>
      <w:proofErr w:type="spellStart"/>
      <w:r w:rsidR="00F61EE1">
        <w:rPr>
          <w:rFonts w:ascii="Arial" w:eastAsiaTheme="minorHAnsi" w:hAnsi="Arial" w:cs="Arial"/>
          <w:sz w:val="20"/>
          <w:szCs w:val="22"/>
          <w:lang w:eastAsia="en-US"/>
        </w:rPr>
        <w:t>Baqué</w:t>
      </w:r>
      <w:proofErr w:type="spellEnd"/>
      <w:r w:rsidR="00F61EE1">
        <w:rPr>
          <w:rFonts w:ascii="Arial" w:eastAsiaTheme="minorHAnsi" w:hAnsi="Arial" w:cs="Arial"/>
          <w:sz w:val="20"/>
          <w:szCs w:val="22"/>
          <w:lang w:eastAsia="en-US"/>
        </w:rPr>
        <w:t>, économiste</w:t>
      </w:r>
      <w:r w:rsidR="00756870">
        <w:rPr>
          <w:rFonts w:ascii="Arial" w:eastAsiaTheme="minorHAnsi" w:hAnsi="Arial" w:cs="Arial"/>
          <w:sz w:val="20"/>
          <w:szCs w:val="22"/>
          <w:lang w:eastAsia="en-US"/>
        </w:rPr>
        <w:t xml:space="preserve"> chez</w:t>
      </w:r>
      <w:r w:rsidR="00F61EE1">
        <w:rPr>
          <w:rFonts w:ascii="Arial" w:eastAsiaTheme="minorHAnsi" w:hAnsi="Arial" w:cs="Arial"/>
          <w:sz w:val="20"/>
          <w:szCs w:val="22"/>
          <w:lang w:eastAsia="en-US"/>
        </w:rPr>
        <w:t xml:space="preserve"> Coface. </w:t>
      </w:r>
    </w:p>
    <w:p w14:paraId="7350AEE9" w14:textId="77777777" w:rsidR="00F61EE1" w:rsidRDefault="00F61EE1" w:rsidP="006B4DF6">
      <w:pPr>
        <w:suppressAutoHyphens/>
        <w:spacing w:line="270" w:lineRule="exact"/>
        <w:jc w:val="both"/>
        <w:rPr>
          <w:rFonts w:ascii="Arial" w:eastAsiaTheme="minorHAnsi" w:hAnsi="Arial" w:cs="Arial"/>
          <w:sz w:val="20"/>
          <w:szCs w:val="22"/>
          <w:lang w:eastAsia="en-US"/>
        </w:rPr>
      </w:pPr>
    </w:p>
    <w:p w14:paraId="7D391502" w14:textId="47607D4D" w:rsidR="00DE13F5" w:rsidRPr="00BD52B5" w:rsidRDefault="00F61EE1"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La</w:t>
      </w:r>
      <w:r w:rsidR="00BD52B5" w:rsidRPr="00BD52B5">
        <w:rPr>
          <w:rFonts w:ascii="Arial" w:eastAsiaTheme="minorHAnsi" w:hAnsi="Arial" w:cs="Arial"/>
          <w:sz w:val="20"/>
          <w:szCs w:val="22"/>
          <w:lang w:eastAsia="en-US"/>
        </w:rPr>
        <w:t xml:space="preserve"> frilosité des </w:t>
      </w:r>
      <w:r>
        <w:rPr>
          <w:rFonts w:ascii="Arial" w:eastAsiaTheme="minorHAnsi" w:hAnsi="Arial" w:cs="Arial"/>
          <w:sz w:val="20"/>
          <w:szCs w:val="22"/>
          <w:lang w:eastAsia="en-US"/>
        </w:rPr>
        <w:t>dépenses</w:t>
      </w:r>
      <w:r w:rsidRPr="00BD52B5">
        <w:rPr>
          <w:rFonts w:ascii="Arial" w:eastAsiaTheme="minorHAnsi" w:hAnsi="Arial" w:cs="Arial"/>
          <w:sz w:val="20"/>
          <w:szCs w:val="22"/>
          <w:lang w:eastAsia="en-US"/>
        </w:rPr>
        <w:t xml:space="preserve"> </w:t>
      </w:r>
      <w:r w:rsidR="00BD52B5" w:rsidRPr="00BD52B5">
        <w:rPr>
          <w:rFonts w:ascii="Arial" w:eastAsiaTheme="minorHAnsi" w:hAnsi="Arial" w:cs="Arial"/>
          <w:sz w:val="20"/>
          <w:szCs w:val="22"/>
          <w:lang w:eastAsia="en-US"/>
        </w:rPr>
        <w:t>des ménages pèse sur l’état de santé des entreprises de services aux particuliers : les défail</w:t>
      </w:r>
      <w:r w:rsidR="00607629">
        <w:rPr>
          <w:rFonts w:ascii="Arial" w:eastAsiaTheme="minorHAnsi" w:hAnsi="Arial" w:cs="Arial"/>
          <w:sz w:val="20"/>
          <w:szCs w:val="22"/>
          <w:lang w:eastAsia="en-US"/>
        </w:rPr>
        <w:t>lances d</w:t>
      </w:r>
      <w:r w:rsidR="00BD52B5" w:rsidRPr="00BD52B5">
        <w:rPr>
          <w:rFonts w:ascii="Arial" w:eastAsiaTheme="minorHAnsi" w:hAnsi="Arial" w:cs="Arial"/>
          <w:sz w:val="20"/>
          <w:szCs w:val="22"/>
          <w:lang w:eastAsia="en-US"/>
        </w:rPr>
        <w:t>u secteur augmentent de 1,1% à fin octobre 2014.</w:t>
      </w:r>
      <w:r w:rsidR="00756870">
        <w:rPr>
          <w:rFonts w:ascii="Arial" w:eastAsiaTheme="minorHAnsi" w:hAnsi="Arial" w:cs="Arial"/>
          <w:sz w:val="20"/>
          <w:szCs w:val="22"/>
          <w:lang w:eastAsia="en-US"/>
        </w:rPr>
        <w:t xml:space="preserve"> </w:t>
      </w:r>
      <w:r w:rsidR="00AC14B0">
        <w:rPr>
          <w:rFonts w:ascii="Arial" w:eastAsiaTheme="minorHAnsi" w:hAnsi="Arial" w:cs="Arial"/>
          <w:sz w:val="20"/>
          <w:szCs w:val="22"/>
          <w:lang w:eastAsia="en-US"/>
        </w:rPr>
        <w:t xml:space="preserve">A </w:t>
      </w:r>
      <w:r w:rsidR="00AC14B0">
        <w:rPr>
          <w:rFonts w:ascii="Arial" w:eastAsiaTheme="minorHAnsi" w:hAnsi="Arial" w:cs="Arial"/>
          <w:sz w:val="20"/>
          <w:szCs w:val="22"/>
          <w:lang w:eastAsia="en-US"/>
        </w:rPr>
        <w:lastRenderedPageBreak/>
        <w:t>l’inverse</w:t>
      </w:r>
      <w:r w:rsidR="00756870">
        <w:rPr>
          <w:rFonts w:ascii="Arial" w:eastAsiaTheme="minorHAnsi" w:hAnsi="Arial" w:cs="Arial"/>
          <w:sz w:val="20"/>
          <w:szCs w:val="22"/>
          <w:lang w:eastAsia="en-US"/>
        </w:rPr>
        <w:t>,</w:t>
      </w:r>
      <w:r w:rsidR="00AC14B0">
        <w:rPr>
          <w:rFonts w:ascii="Arial" w:eastAsiaTheme="minorHAnsi" w:hAnsi="Arial" w:cs="Arial"/>
          <w:sz w:val="20"/>
          <w:szCs w:val="22"/>
          <w:lang w:eastAsia="en-US"/>
        </w:rPr>
        <w:t xml:space="preserve"> la chimie profite de la chute du cou</w:t>
      </w:r>
      <w:r w:rsidR="00756870">
        <w:rPr>
          <w:rFonts w:ascii="Arial" w:eastAsiaTheme="minorHAnsi" w:hAnsi="Arial" w:cs="Arial"/>
          <w:sz w:val="20"/>
          <w:szCs w:val="22"/>
          <w:lang w:eastAsia="en-US"/>
        </w:rPr>
        <w:t xml:space="preserve">rs du pétrole ces derniers mois, </w:t>
      </w:r>
      <w:r w:rsidR="00AC14B0">
        <w:rPr>
          <w:rFonts w:ascii="Arial" w:eastAsiaTheme="minorHAnsi" w:hAnsi="Arial" w:cs="Arial"/>
          <w:sz w:val="20"/>
          <w:szCs w:val="22"/>
          <w:lang w:eastAsia="en-US"/>
        </w:rPr>
        <w:t xml:space="preserve">avec la baisse </w:t>
      </w:r>
      <w:r w:rsidR="002F3AAE">
        <w:rPr>
          <w:rFonts w:ascii="Arial" w:eastAsiaTheme="minorHAnsi" w:hAnsi="Arial" w:cs="Arial"/>
          <w:sz w:val="20"/>
          <w:szCs w:val="22"/>
          <w:lang w:eastAsia="en-US"/>
        </w:rPr>
        <w:t xml:space="preserve">la plus importante </w:t>
      </w:r>
      <w:r w:rsidR="009A0E8E">
        <w:rPr>
          <w:rFonts w:ascii="Arial" w:eastAsiaTheme="minorHAnsi" w:hAnsi="Arial" w:cs="Arial"/>
          <w:sz w:val="20"/>
          <w:szCs w:val="22"/>
          <w:lang w:eastAsia="en-US"/>
        </w:rPr>
        <w:t>de</w:t>
      </w:r>
      <w:r w:rsidR="002F3AAE">
        <w:rPr>
          <w:rFonts w:ascii="Arial" w:eastAsiaTheme="minorHAnsi" w:hAnsi="Arial" w:cs="Arial"/>
          <w:sz w:val="20"/>
          <w:szCs w:val="22"/>
          <w:lang w:eastAsia="en-US"/>
        </w:rPr>
        <w:t xml:space="preserve"> </w:t>
      </w:r>
      <w:r w:rsidR="00AC14B0">
        <w:rPr>
          <w:rFonts w:ascii="Arial" w:eastAsiaTheme="minorHAnsi" w:hAnsi="Arial" w:cs="Arial"/>
          <w:sz w:val="20"/>
          <w:szCs w:val="22"/>
          <w:lang w:eastAsia="en-US"/>
        </w:rPr>
        <w:t>-9,2%.</w:t>
      </w:r>
    </w:p>
    <w:p w14:paraId="3468F596" w14:textId="48952E64" w:rsidR="00BD52B5" w:rsidRPr="006B4DF6" w:rsidRDefault="00BD52B5" w:rsidP="006B4DF6">
      <w:pPr>
        <w:suppressAutoHyphens/>
        <w:spacing w:line="270" w:lineRule="exact"/>
        <w:jc w:val="both"/>
        <w:rPr>
          <w:rFonts w:ascii="Arial" w:eastAsiaTheme="minorHAnsi" w:hAnsi="Arial" w:cs="Arial"/>
          <w:sz w:val="22"/>
          <w:szCs w:val="22"/>
          <w:lang w:eastAsia="en-US"/>
        </w:rPr>
      </w:pPr>
    </w:p>
    <w:p w14:paraId="39A25927" w14:textId="58D35921" w:rsidR="00BD52B5" w:rsidRPr="006B4DF6" w:rsidRDefault="00BD52B5" w:rsidP="006B4DF6">
      <w:pPr>
        <w:suppressAutoHyphens/>
        <w:spacing w:line="270" w:lineRule="exact"/>
        <w:jc w:val="both"/>
        <w:rPr>
          <w:rFonts w:ascii="Arial" w:eastAsiaTheme="minorHAnsi" w:hAnsi="Arial" w:cs="Arial"/>
          <w:b/>
          <w:sz w:val="22"/>
          <w:szCs w:val="22"/>
          <w:lang w:eastAsia="en-US"/>
        </w:rPr>
      </w:pPr>
      <w:r w:rsidRPr="006B4DF6">
        <w:rPr>
          <w:rFonts w:ascii="Arial" w:eastAsiaTheme="minorHAnsi" w:hAnsi="Arial" w:cs="Arial"/>
          <w:b/>
          <w:sz w:val="22"/>
          <w:szCs w:val="22"/>
          <w:lang w:eastAsia="en-US"/>
        </w:rPr>
        <w:t>De nouvelles caractéristiques inhérentes aux entreprises défaillantes</w:t>
      </w:r>
    </w:p>
    <w:p w14:paraId="244308F5" w14:textId="60FCF95B" w:rsidR="00BD52B5" w:rsidRPr="00BD52B5" w:rsidRDefault="00BD52B5" w:rsidP="006B4DF6">
      <w:pPr>
        <w:suppressAutoHyphens/>
        <w:spacing w:line="270" w:lineRule="exact"/>
        <w:jc w:val="both"/>
        <w:rPr>
          <w:rFonts w:ascii="Arial" w:eastAsiaTheme="minorHAnsi" w:hAnsi="Arial" w:cs="Arial"/>
          <w:sz w:val="20"/>
          <w:szCs w:val="22"/>
          <w:lang w:eastAsia="en-US"/>
        </w:rPr>
      </w:pPr>
    </w:p>
    <w:p w14:paraId="6270185C" w14:textId="0AB569F0" w:rsidR="006B4DF6" w:rsidRDefault="00F61EE1"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Coface constate que</w:t>
      </w:r>
      <w:r w:rsidR="00BD52B5" w:rsidRPr="00BD52B5">
        <w:rPr>
          <w:rFonts w:ascii="Arial" w:eastAsiaTheme="minorHAnsi" w:hAnsi="Arial" w:cs="Arial"/>
          <w:sz w:val="20"/>
          <w:szCs w:val="22"/>
          <w:lang w:eastAsia="en-US"/>
        </w:rPr>
        <w:t xml:space="preserve"> l’âge des entreprises défaillantes augmente</w:t>
      </w:r>
      <w:r w:rsidR="00607629">
        <w:rPr>
          <w:rFonts w:ascii="Arial" w:eastAsiaTheme="minorHAnsi" w:hAnsi="Arial" w:cs="Arial"/>
          <w:sz w:val="20"/>
          <w:szCs w:val="22"/>
          <w:lang w:eastAsia="en-US"/>
        </w:rPr>
        <w:t xml:space="preserve"> </w:t>
      </w:r>
      <w:r w:rsidR="007C5CE9" w:rsidRPr="00BD52B5">
        <w:rPr>
          <w:rFonts w:ascii="Arial" w:eastAsiaTheme="minorHAnsi" w:hAnsi="Arial" w:cs="Arial"/>
          <w:sz w:val="20"/>
          <w:szCs w:val="22"/>
          <w:lang w:eastAsia="en-US"/>
        </w:rPr>
        <w:t>depuis début 2009</w:t>
      </w:r>
      <w:r w:rsidR="00BD52B5" w:rsidRPr="00BD52B5">
        <w:rPr>
          <w:rFonts w:ascii="Arial" w:eastAsiaTheme="minorHAnsi" w:hAnsi="Arial" w:cs="Arial"/>
          <w:sz w:val="20"/>
          <w:szCs w:val="22"/>
          <w:lang w:eastAsia="en-US"/>
        </w:rPr>
        <w:t>: l’âge moyen atteint 8 ans et 7 mois en octobre 2014 contre 7 ans à son plus bas</w:t>
      </w:r>
      <w:r w:rsidR="00607629">
        <w:rPr>
          <w:rFonts w:ascii="Arial" w:eastAsiaTheme="minorHAnsi" w:hAnsi="Arial" w:cs="Arial"/>
          <w:sz w:val="20"/>
          <w:szCs w:val="22"/>
          <w:lang w:eastAsia="en-US"/>
        </w:rPr>
        <w:t xml:space="preserve"> niveau</w:t>
      </w:r>
      <w:r w:rsidR="00BD52B5" w:rsidRPr="00BD52B5">
        <w:rPr>
          <w:rFonts w:ascii="Arial" w:eastAsiaTheme="minorHAnsi" w:hAnsi="Arial" w:cs="Arial"/>
          <w:sz w:val="20"/>
          <w:szCs w:val="22"/>
          <w:lang w:eastAsia="en-US"/>
        </w:rPr>
        <w:t xml:space="preserve"> à fin 2008. </w:t>
      </w:r>
    </w:p>
    <w:p w14:paraId="5CEA53EB" w14:textId="77777777" w:rsidR="006B4DF6" w:rsidRDefault="006B4DF6" w:rsidP="006B4DF6">
      <w:pPr>
        <w:suppressAutoHyphens/>
        <w:spacing w:line="270" w:lineRule="exact"/>
        <w:jc w:val="both"/>
        <w:rPr>
          <w:rFonts w:ascii="Arial" w:eastAsiaTheme="minorHAnsi" w:hAnsi="Arial" w:cs="Arial"/>
          <w:sz w:val="20"/>
          <w:szCs w:val="22"/>
          <w:lang w:eastAsia="en-US"/>
        </w:rPr>
      </w:pPr>
    </w:p>
    <w:p w14:paraId="3ABB6609" w14:textId="068647D0" w:rsidR="00BD52B5" w:rsidRDefault="006B0B55"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 xml:space="preserve">Guillaume </w:t>
      </w:r>
      <w:proofErr w:type="spellStart"/>
      <w:r>
        <w:rPr>
          <w:rFonts w:ascii="Arial" w:eastAsiaTheme="minorHAnsi" w:hAnsi="Arial" w:cs="Arial"/>
          <w:sz w:val="20"/>
          <w:szCs w:val="22"/>
          <w:lang w:eastAsia="en-US"/>
        </w:rPr>
        <w:t>Baqué</w:t>
      </w:r>
      <w:proofErr w:type="spellEnd"/>
      <w:r>
        <w:rPr>
          <w:rFonts w:ascii="Arial" w:eastAsiaTheme="minorHAnsi" w:hAnsi="Arial" w:cs="Arial"/>
          <w:sz w:val="20"/>
          <w:szCs w:val="22"/>
          <w:lang w:eastAsia="en-US"/>
        </w:rPr>
        <w:t xml:space="preserve"> </w:t>
      </w:r>
      <w:r w:rsidR="00981AAA">
        <w:rPr>
          <w:rFonts w:ascii="Arial" w:eastAsiaTheme="minorHAnsi" w:hAnsi="Arial" w:cs="Arial"/>
          <w:sz w:val="20"/>
          <w:szCs w:val="22"/>
          <w:lang w:eastAsia="en-US"/>
        </w:rPr>
        <w:t>l’explique</w:t>
      </w:r>
      <w:r w:rsidR="00AC14B0">
        <w:rPr>
          <w:rFonts w:ascii="Arial" w:eastAsiaTheme="minorHAnsi" w:hAnsi="Arial" w:cs="Arial"/>
          <w:sz w:val="20"/>
          <w:szCs w:val="22"/>
          <w:lang w:eastAsia="en-US"/>
        </w:rPr>
        <w:t> : « </w:t>
      </w:r>
      <w:r w:rsidR="00AC14B0" w:rsidRPr="007C1A9C">
        <w:rPr>
          <w:rFonts w:ascii="Arial" w:eastAsiaTheme="minorHAnsi" w:hAnsi="Arial" w:cs="Arial"/>
          <w:i/>
          <w:sz w:val="20"/>
          <w:szCs w:val="22"/>
          <w:lang w:eastAsia="en-US"/>
        </w:rPr>
        <w:t>Les crises</w:t>
      </w:r>
      <w:r w:rsidR="00981AAA">
        <w:rPr>
          <w:rFonts w:ascii="Arial" w:eastAsiaTheme="minorHAnsi" w:hAnsi="Arial" w:cs="Arial"/>
          <w:i/>
          <w:sz w:val="20"/>
          <w:szCs w:val="22"/>
          <w:lang w:eastAsia="en-US"/>
        </w:rPr>
        <w:t xml:space="preserve"> économiques et</w:t>
      </w:r>
      <w:r w:rsidR="00AC14B0" w:rsidRPr="007C1A9C">
        <w:rPr>
          <w:rFonts w:ascii="Arial" w:eastAsiaTheme="minorHAnsi" w:hAnsi="Arial" w:cs="Arial"/>
          <w:i/>
          <w:sz w:val="20"/>
          <w:szCs w:val="22"/>
          <w:lang w:eastAsia="en-US"/>
        </w:rPr>
        <w:t xml:space="preserve"> financières </w:t>
      </w:r>
      <w:r w:rsidR="007C5CE9">
        <w:rPr>
          <w:rFonts w:ascii="Arial" w:eastAsiaTheme="minorHAnsi" w:hAnsi="Arial" w:cs="Arial"/>
          <w:i/>
          <w:sz w:val="20"/>
          <w:szCs w:val="22"/>
          <w:lang w:eastAsia="en-US"/>
        </w:rPr>
        <w:t xml:space="preserve">révèlent </w:t>
      </w:r>
      <w:r w:rsidR="00AC14B0" w:rsidRPr="007C1A9C">
        <w:rPr>
          <w:rFonts w:ascii="Arial" w:eastAsiaTheme="minorHAnsi" w:hAnsi="Arial" w:cs="Arial"/>
          <w:i/>
          <w:sz w:val="20"/>
          <w:szCs w:val="22"/>
          <w:lang w:eastAsia="en-US"/>
        </w:rPr>
        <w:t xml:space="preserve">les </w:t>
      </w:r>
      <w:r w:rsidR="00981AAA">
        <w:rPr>
          <w:rFonts w:ascii="Arial" w:eastAsiaTheme="minorHAnsi" w:hAnsi="Arial" w:cs="Arial"/>
          <w:i/>
          <w:sz w:val="20"/>
          <w:szCs w:val="22"/>
          <w:lang w:eastAsia="en-US"/>
        </w:rPr>
        <w:t>vulnérabilités</w:t>
      </w:r>
      <w:r w:rsidR="00981AAA" w:rsidRPr="007C1A9C">
        <w:rPr>
          <w:rFonts w:ascii="Arial" w:eastAsiaTheme="minorHAnsi" w:hAnsi="Arial" w:cs="Arial"/>
          <w:i/>
          <w:sz w:val="20"/>
          <w:szCs w:val="22"/>
          <w:lang w:eastAsia="en-US"/>
        </w:rPr>
        <w:t xml:space="preserve"> </w:t>
      </w:r>
      <w:r w:rsidR="00981AAA">
        <w:rPr>
          <w:rFonts w:ascii="Arial" w:eastAsiaTheme="minorHAnsi" w:hAnsi="Arial" w:cs="Arial"/>
          <w:i/>
          <w:sz w:val="20"/>
          <w:szCs w:val="22"/>
          <w:lang w:eastAsia="en-US"/>
        </w:rPr>
        <w:t>d</w:t>
      </w:r>
      <w:r w:rsidR="007C5CE9">
        <w:rPr>
          <w:rFonts w:ascii="Arial" w:eastAsiaTheme="minorHAnsi" w:hAnsi="Arial" w:cs="Arial"/>
          <w:i/>
          <w:sz w:val="20"/>
          <w:szCs w:val="22"/>
          <w:lang w:eastAsia="en-US"/>
        </w:rPr>
        <w:t>es</w:t>
      </w:r>
      <w:r w:rsidR="00AC14B0" w:rsidRPr="007C1A9C">
        <w:rPr>
          <w:rFonts w:ascii="Arial" w:eastAsiaTheme="minorHAnsi" w:hAnsi="Arial" w:cs="Arial"/>
          <w:i/>
          <w:sz w:val="20"/>
          <w:szCs w:val="22"/>
          <w:lang w:eastAsia="en-US"/>
        </w:rPr>
        <w:t xml:space="preserve"> entreprises</w:t>
      </w:r>
      <w:r w:rsidR="00981AAA">
        <w:rPr>
          <w:rFonts w:ascii="Arial" w:eastAsiaTheme="minorHAnsi" w:hAnsi="Arial" w:cs="Arial"/>
          <w:i/>
          <w:sz w:val="20"/>
          <w:szCs w:val="22"/>
          <w:lang w:eastAsia="en-US"/>
        </w:rPr>
        <w:t xml:space="preserve"> matures</w:t>
      </w:r>
      <w:r w:rsidR="00AC14B0" w:rsidRPr="007C1A9C">
        <w:rPr>
          <w:rFonts w:ascii="Arial" w:eastAsiaTheme="minorHAnsi" w:hAnsi="Arial" w:cs="Arial"/>
          <w:i/>
          <w:sz w:val="20"/>
          <w:szCs w:val="22"/>
          <w:lang w:eastAsia="en-US"/>
        </w:rPr>
        <w:t xml:space="preserve">. </w:t>
      </w:r>
      <w:r w:rsidR="007C1A9C" w:rsidRPr="007C1A9C">
        <w:rPr>
          <w:rFonts w:ascii="Arial" w:eastAsiaTheme="minorHAnsi" w:hAnsi="Arial" w:cs="Arial"/>
          <w:i/>
          <w:sz w:val="20"/>
          <w:szCs w:val="22"/>
          <w:lang w:eastAsia="en-US"/>
        </w:rPr>
        <w:t xml:space="preserve">Pour les </w:t>
      </w:r>
      <w:r w:rsidR="00AC14B0" w:rsidRPr="007C1A9C">
        <w:rPr>
          <w:rFonts w:ascii="Arial" w:eastAsiaTheme="minorHAnsi" w:hAnsi="Arial" w:cs="Arial"/>
          <w:i/>
          <w:sz w:val="20"/>
          <w:szCs w:val="22"/>
          <w:lang w:eastAsia="en-US"/>
        </w:rPr>
        <w:t xml:space="preserve">entreprises les plus anciennes, un </w:t>
      </w:r>
      <w:r w:rsidR="00981AAA">
        <w:rPr>
          <w:rFonts w:ascii="Arial" w:eastAsiaTheme="minorHAnsi" w:hAnsi="Arial" w:cs="Arial"/>
          <w:i/>
          <w:sz w:val="20"/>
          <w:szCs w:val="22"/>
          <w:lang w:eastAsia="en-US"/>
        </w:rPr>
        <w:t>rythme de croisière normal</w:t>
      </w:r>
      <w:r w:rsidR="00AC14B0" w:rsidRPr="007C1A9C">
        <w:rPr>
          <w:rFonts w:ascii="Arial" w:eastAsiaTheme="minorHAnsi" w:hAnsi="Arial" w:cs="Arial"/>
          <w:i/>
          <w:sz w:val="20"/>
          <w:szCs w:val="22"/>
          <w:lang w:eastAsia="en-US"/>
        </w:rPr>
        <w:t xml:space="preserve"> </w:t>
      </w:r>
      <w:r w:rsidR="007C5CE9">
        <w:rPr>
          <w:rFonts w:ascii="Arial" w:eastAsiaTheme="minorHAnsi" w:hAnsi="Arial" w:cs="Arial"/>
          <w:i/>
          <w:sz w:val="20"/>
          <w:szCs w:val="22"/>
          <w:lang w:eastAsia="en-US"/>
        </w:rPr>
        <w:t xml:space="preserve">de </w:t>
      </w:r>
      <w:r w:rsidR="00AC14B0" w:rsidRPr="007C1A9C">
        <w:rPr>
          <w:rFonts w:ascii="Arial" w:eastAsiaTheme="minorHAnsi" w:hAnsi="Arial" w:cs="Arial"/>
          <w:i/>
          <w:sz w:val="20"/>
          <w:szCs w:val="22"/>
          <w:lang w:eastAsia="en-US"/>
        </w:rPr>
        <w:t xml:space="preserve">croissance de l’économie peut </w:t>
      </w:r>
      <w:r w:rsidR="002F3AAE">
        <w:rPr>
          <w:rFonts w:ascii="Arial" w:eastAsiaTheme="minorHAnsi" w:hAnsi="Arial" w:cs="Arial"/>
          <w:i/>
          <w:sz w:val="20"/>
          <w:szCs w:val="22"/>
          <w:lang w:eastAsia="en-US"/>
        </w:rPr>
        <w:t>entraî</w:t>
      </w:r>
      <w:r w:rsidR="00981AAA">
        <w:rPr>
          <w:rFonts w:ascii="Arial" w:eastAsiaTheme="minorHAnsi" w:hAnsi="Arial" w:cs="Arial"/>
          <w:i/>
          <w:sz w:val="20"/>
          <w:szCs w:val="22"/>
          <w:lang w:eastAsia="en-US"/>
        </w:rPr>
        <w:t>ner</w:t>
      </w:r>
      <w:r w:rsidR="00981AAA" w:rsidRPr="007C1A9C">
        <w:rPr>
          <w:rFonts w:ascii="Arial" w:eastAsiaTheme="minorHAnsi" w:hAnsi="Arial" w:cs="Arial"/>
          <w:i/>
          <w:sz w:val="20"/>
          <w:szCs w:val="22"/>
          <w:lang w:eastAsia="en-US"/>
        </w:rPr>
        <w:t xml:space="preserve"> </w:t>
      </w:r>
      <w:r w:rsidR="00AC14B0" w:rsidRPr="007C1A9C">
        <w:rPr>
          <w:rFonts w:ascii="Arial" w:eastAsiaTheme="minorHAnsi" w:hAnsi="Arial" w:cs="Arial"/>
          <w:i/>
          <w:sz w:val="20"/>
          <w:szCs w:val="22"/>
          <w:lang w:eastAsia="en-US"/>
        </w:rPr>
        <w:t xml:space="preserve">un comportement de rente. Dans ce contexte, </w:t>
      </w:r>
      <w:r w:rsidR="002F3AAE">
        <w:rPr>
          <w:rFonts w:ascii="Arial" w:eastAsiaTheme="minorHAnsi" w:hAnsi="Arial" w:cs="Arial"/>
          <w:i/>
          <w:sz w:val="20"/>
          <w:szCs w:val="22"/>
          <w:lang w:eastAsia="en-US"/>
        </w:rPr>
        <w:t>certaines</w:t>
      </w:r>
      <w:r w:rsidR="00AC14B0" w:rsidRPr="007C1A9C">
        <w:rPr>
          <w:rFonts w:ascii="Arial" w:eastAsiaTheme="minorHAnsi" w:hAnsi="Arial" w:cs="Arial"/>
          <w:i/>
          <w:sz w:val="20"/>
          <w:szCs w:val="22"/>
          <w:lang w:eastAsia="en-US"/>
        </w:rPr>
        <w:t xml:space="preserve"> entreprises ne sont pas incit</w:t>
      </w:r>
      <w:r w:rsidR="00981AAA">
        <w:rPr>
          <w:rFonts w:ascii="Arial" w:eastAsiaTheme="minorHAnsi" w:hAnsi="Arial" w:cs="Arial"/>
          <w:i/>
          <w:sz w:val="20"/>
          <w:szCs w:val="22"/>
          <w:lang w:eastAsia="en-US"/>
        </w:rPr>
        <w:t>ées</w:t>
      </w:r>
      <w:r w:rsidR="00AC14B0" w:rsidRPr="007C1A9C">
        <w:rPr>
          <w:rFonts w:ascii="Arial" w:eastAsiaTheme="minorHAnsi" w:hAnsi="Arial" w:cs="Arial"/>
          <w:i/>
          <w:sz w:val="20"/>
          <w:szCs w:val="22"/>
          <w:lang w:eastAsia="en-US"/>
        </w:rPr>
        <w:t xml:space="preserve"> à innover, </w:t>
      </w:r>
      <w:r w:rsidR="00981AAA">
        <w:rPr>
          <w:rFonts w:ascii="Arial" w:eastAsiaTheme="minorHAnsi" w:hAnsi="Arial" w:cs="Arial"/>
          <w:i/>
          <w:sz w:val="20"/>
          <w:szCs w:val="22"/>
          <w:lang w:eastAsia="en-US"/>
        </w:rPr>
        <w:t xml:space="preserve">à </w:t>
      </w:r>
      <w:r w:rsidR="00AC14B0" w:rsidRPr="007C1A9C">
        <w:rPr>
          <w:rFonts w:ascii="Arial" w:eastAsiaTheme="minorHAnsi" w:hAnsi="Arial" w:cs="Arial"/>
          <w:i/>
          <w:sz w:val="20"/>
          <w:szCs w:val="22"/>
          <w:lang w:eastAsia="en-US"/>
        </w:rPr>
        <w:t>développer leur activité ou encore</w:t>
      </w:r>
      <w:r w:rsidR="00981AAA">
        <w:rPr>
          <w:rFonts w:ascii="Arial" w:eastAsiaTheme="minorHAnsi" w:hAnsi="Arial" w:cs="Arial"/>
          <w:i/>
          <w:sz w:val="20"/>
          <w:szCs w:val="22"/>
          <w:lang w:eastAsia="en-US"/>
        </w:rPr>
        <w:t xml:space="preserve"> à</w:t>
      </w:r>
      <w:r w:rsidR="00AC14B0" w:rsidRPr="007C1A9C">
        <w:rPr>
          <w:rFonts w:ascii="Arial" w:eastAsiaTheme="minorHAnsi" w:hAnsi="Arial" w:cs="Arial"/>
          <w:i/>
          <w:sz w:val="20"/>
          <w:szCs w:val="22"/>
          <w:lang w:eastAsia="en-US"/>
        </w:rPr>
        <w:t xml:space="preserve"> réduire la concentration de leur portefeuille clients. De fait, elles sont </w:t>
      </w:r>
      <w:r w:rsidR="00981AAA">
        <w:rPr>
          <w:rFonts w:ascii="Arial" w:eastAsiaTheme="minorHAnsi" w:hAnsi="Arial" w:cs="Arial"/>
          <w:i/>
          <w:sz w:val="20"/>
          <w:szCs w:val="22"/>
          <w:lang w:eastAsia="en-US"/>
        </w:rPr>
        <w:t xml:space="preserve">alors très fragiles lors de la </w:t>
      </w:r>
      <w:r w:rsidR="002F3AAE">
        <w:rPr>
          <w:rFonts w:ascii="Arial" w:eastAsiaTheme="minorHAnsi" w:hAnsi="Arial" w:cs="Arial"/>
          <w:i/>
          <w:sz w:val="20"/>
          <w:szCs w:val="22"/>
          <w:lang w:eastAsia="en-US"/>
        </w:rPr>
        <w:t xml:space="preserve">survenance d’une crise </w:t>
      </w:r>
      <w:r w:rsidR="007C1A9C">
        <w:rPr>
          <w:rFonts w:ascii="Arial" w:eastAsiaTheme="minorHAnsi" w:hAnsi="Arial" w:cs="Arial"/>
          <w:sz w:val="20"/>
          <w:szCs w:val="22"/>
          <w:lang w:eastAsia="en-US"/>
        </w:rPr>
        <w:t>»</w:t>
      </w:r>
      <w:r w:rsidR="002F3AAE">
        <w:rPr>
          <w:rFonts w:ascii="Arial" w:eastAsiaTheme="minorHAnsi" w:hAnsi="Arial" w:cs="Arial"/>
          <w:sz w:val="20"/>
          <w:szCs w:val="22"/>
          <w:lang w:eastAsia="en-US"/>
        </w:rPr>
        <w:t>.</w:t>
      </w:r>
    </w:p>
    <w:p w14:paraId="7E9289E8" w14:textId="77777777" w:rsidR="006B4DF6" w:rsidRPr="00BD52B5" w:rsidRDefault="006B4DF6" w:rsidP="006B4DF6">
      <w:pPr>
        <w:suppressAutoHyphens/>
        <w:spacing w:line="270" w:lineRule="exact"/>
        <w:jc w:val="both"/>
        <w:rPr>
          <w:rFonts w:ascii="Arial" w:eastAsiaTheme="minorHAnsi" w:hAnsi="Arial" w:cs="Arial"/>
          <w:sz w:val="20"/>
          <w:szCs w:val="22"/>
          <w:lang w:eastAsia="en-US"/>
        </w:rPr>
      </w:pPr>
    </w:p>
    <w:p w14:paraId="39C221CE" w14:textId="687D9FEC" w:rsidR="006B4DF6" w:rsidRDefault="00AC14B0"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D’autre part,</w:t>
      </w:r>
      <w:r w:rsidR="003A6121">
        <w:rPr>
          <w:rFonts w:ascii="Arial" w:eastAsiaTheme="minorHAnsi" w:hAnsi="Arial" w:cs="Arial"/>
          <w:sz w:val="20"/>
          <w:szCs w:val="22"/>
          <w:lang w:eastAsia="en-US"/>
        </w:rPr>
        <w:t xml:space="preserve"> m</w:t>
      </w:r>
      <w:r w:rsidR="00BD52B5" w:rsidRPr="00BD52B5">
        <w:rPr>
          <w:rFonts w:ascii="Arial" w:eastAsiaTheme="minorHAnsi" w:hAnsi="Arial" w:cs="Arial"/>
          <w:sz w:val="20"/>
          <w:szCs w:val="22"/>
          <w:lang w:eastAsia="en-US"/>
        </w:rPr>
        <w:t xml:space="preserve">ême si les micro-entreprises représentent encore plus de 92% des défaillances  enregistrées, les entreprises de taille intermédiaire et les grandes entreprises </w:t>
      </w:r>
      <w:r w:rsidR="00981AAA">
        <w:rPr>
          <w:rFonts w:ascii="Arial" w:eastAsiaTheme="minorHAnsi" w:hAnsi="Arial" w:cs="Arial"/>
          <w:sz w:val="20"/>
          <w:szCs w:val="22"/>
          <w:lang w:eastAsia="en-US"/>
        </w:rPr>
        <w:t>o</w:t>
      </w:r>
      <w:r w:rsidR="00A86906">
        <w:rPr>
          <w:rFonts w:ascii="Arial" w:eastAsiaTheme="minorHAnsi" w:hAnsi="Arial" w:cs="Arial"/>
          <w:sz w:val="20"/>
          <w:szCs w:val="22"/>
          <w:lang w:eastAsia="en-US"/>
        </w:rPr>
        <w:t>n</w:t>
      </w:r>
      <w:r w:rsidR="00981AAA">
        <w:rPr>
          <w:rFonts w:ascii="Arial" w:eastAsiaTheme="minorHAnsi" w:hAnsi="Arial" w:cs="Arial"/>
          <w:sz w:val="20"/>
          <w:szCs w:val="22"/>
          <w:lang w:eastAsia="en-US"/>
        </w:rPr>
        <w:t>t été très touchées</w:t>
      </w:r>
      <w:r w:rsidR="006B4DF6">
        <w:rPr>
          <w:rFonts w:ascii="Arial" w:eastAsiaTheme="minorHAnsi" w:hAnsi="Arial" w:cs="Arial"/>
          <w:sz w:val="20"/>
          <w:szCs w:val="22"/>
          <w:lang w:eastAsia="en-US"/>
        </w:rPr>
        <w:t>.</w:t>
      </w:r>
    </w:p>
    <w:p w14:paraId="3FA07C5C" w14:textId="50D4CE9E" w:rsidR="006B4DF6" w:rsidRDefault="006B4DF6" w:rsidP="006B4DF6">
      <w:pPr>
        <w:suppressAutoHyphens/>
        <w:spacing w:line="270" w:lineRule="exact"/>
        <w:jc w:val="both"/>
        <w:rPr>
          <w:rFonts w:ascii="Arial" w:eastAsiaTheme="minorHAnsi" w:hAnsi="Arial" w:cs="Arial"/>
          <w:sz w:val="20"/>
          <w:szCs w:val="22"/>
          <w:lang w:eastAsia="en-US"/>
        </w:rPr>
      </w:pPr>
    </w:p>
    <w:p w14:paraId="4246489A" w14:textId="1C7A3117" w:rsidR="00BD52B5" w:rsidRPr="00BD52B5" w:rsidRDefault="00A86906" w:rsidP="006B4DF6">
      <w:pPr>
        <w:suppressAutoHyphens/>
        <w:spacing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 </w:t>
      </w:r>
      <w:r w:rsidR="009A0E8E">
        <w:rPr>
          <w:rFonts w:ascii="Arial" w:eastAsiaTheme="minorHAnsi" w:hAnsi="Arial" w:cs="Arial"/>
          <w:i/>
          <w:sz w:val="20"/>
          <w:szCs w:val="22"/>
          <w:lang w:eastAsia="en-US"/>
        </w:rPr>
        <w:t>Sur les deux derniers mois</w:t>
      </w:r>
      <w:r w:rsidR="002F3AAE">
        <w:rPr>
          <w:rFonts w:ascii="Arial" w:eastAsiaTheme="minorHAnsi" w:hAnsi="Arial" w:cs="Arial"/>
          <w:i/>
          <w:sz w:val="20"/>
          <w:szCs w:val="22"/>
          <w:lang w:eastAsia="en-US"/>
        </w:rPr>
        <w:t>, 28 ETI et grandes entreprises</w:t>
      </w:r>
      <w:r w:rsidRPr="006B4DF6">
        <w:rPr>
          <w:rFonts w:ascii="Arial" w:eastAsiaTheme="minorHAnsi" w:hAnsi="Arial" w:cs="Arial"/>
          <w:i/>
          <w:sz w:val="20"/>
          <w:szCs w:val="22"/>
          <w:lang w:eastAsia="en-US"/>
        </w:rPr>
        <w:t xml:space="preserve"> comptent parmi les 100 plus grosses défaillances de l’année 2014</w:t>
      </w:r>
      <w:r w:rsidR="002F3AAE">
        <w:rPr>
          <w:rFonts w:ascii="Arial" w:eastAsiaTheme="minorHAnsi" w:hAnsi="Arial" w:cs="Arial"/>
          <w:i/>
          <w:sz w:val="20"/>
          <w:szCs w:val="22"/>
          <w:lang w:eastAsia="en-US"/>
        </w:rPr>
        <w:t>,</w:t>
      </w:r>
      <w:r w:rsidRPr="006B4DF6">
        <w:rPr>
          <w:rFonts w:ascii="Arial" w:eastAsiaTheme="minorHAnsi" w:hAnsi="Arial" w:cs="Arial"/>
          <w:i/>
          <w:sz w:val="20"/>
          <w:szCs w:val="22"/>
          <w:lang w:eastAsia="en-US"/>
        </w:rPr>
        <w:t xml:space="preserve"> contre 12 observées à la même période en 2013</w:t>
      </w:r>
      <w:r>
        <w:rPr>
          <w:rFonts w:ascii="Arial" w:eastAsiaTheme="minorHAnsi" w:hAnsi="Arial" w:cs="Arial"/>
          <w:sz w:val="20"/>
          <w:szCs w:val="22"/>
          <w:lang w:eastAsia="en-US"/>
        </w:rPr>
        <w:t> »</w:t>
      </w:r>
      <w:r w:rsidR="006B4DF6">
        <w:rPr>
          <w:rFonts w:ascii="Arial" w:eastAsiaTheme="minorHAnsi" w:hAnsi="Arial" w:cs="Arial"/>
          <w:sz w:val="20"/>
          <w:szCs w:val="22"/>
          <w:lang w:eastAsia="en-US"/>
        </w:rPr>
        <w:t>,</w:t>
      </w:r>
      <w:r w:rsidRPr="00A86906">
        <w:rPr>
          <w:rFonts w:ascii="Arial" w:eastAsiaTheme="minorHAnsi" w:hAnsi="Arial" w:cs="Arial"/>
          <w:sz w:val="20"/>
          <w:szCs w:val="22"/>
          <w:lang w:eastAsia="en-US"/>
        </w:rPr>
        <w:t xml:space="preserve"> </w:t>
      </w:r>
      <w:r w:rsidR="006B4DF6">
        <w:rPr>
          <w:rFonts w:ascii="Arial" w:eastAsiaTheme="minorHAnsi" w:hAnsi="Arial" w:cs="Arial"/>
          <w:sz w:val="20"/>
          <w:szCs w:val="22"/>
          <w:lang w:eastAsia="en-US"/>
        </w:rPr>
        <w:t xml:space="preserve">précise Guillaume </w:t>
      </w:r>
      <w:proofErr w:type="spellStart"/>
      <w:r w:rsidR="006B4DF6">
        <w:rPr>
          <w:rFonts w:ascii="Arial" w:eastAsiaTheme="minorHAnsi" w:hAnsi="Arial" w:cs="Arial"/>
          <w:sz w:val="20"/>
          <w:szCs w:val="22"/>
          <w:lang w:eastAsia="en-US"/>
        </w:rPr>
        <w:t>Baqué</w:t>
      </w:r>
      <w:proofErr w:type="spellEnd"/>
      <w:r w:rsidR="006B4DF6">
        <w:rPr>
          <w:rFonts w:ascii="Arial" w:eastAsiaTheme="minorHAnsi" w:hAnsi="Arial" w:cs="Arial"/>
          <w:sz w:val="20"/>
          <w:szCs w:val="22"/>
          <w:lang w:eastAsia="en-US"/>
        </w:rPr>
        <w:t>.</w:t>
      </w:r>
    </w:p>
    <w:p w14:paraId="1D5C13EA" w14:textId="77777777" w:rsidR="00BD52B5" w:rsidRPr="006B4DF6" w:rsidRDefault="00BD52B5" w:rsidP="006B4DF6">
      <w:pPr>
        <w:suppressAutoHyphens/>
        <w:spacing w:line="270" w:lineRule="exact"/>
        <w:jc w:val="both"/>
        <w:rPr>
          <w:rFonts w:ascii="Arial" w:eastAsiaTheme="minorHAnsi" w:hAnsi="Arial" w:cs="Arial"/>
          <w:sz w:val="22"/>
          <w:szCs w:val="22"/>
          <w:lang w:eastAsia="en-US"/>
        </w:rPr>
      </w:pPr>
    </w:p>
    <w:p w14:paraId="7074B4EC" w14:textId="4615F6D2" w:rsidR="00BD52B5" w:rsidRPr="006B4DF6" w:rsidRDefault="005549A9" w:rsidP="006B4DF6">
      <w:pPr>
        <w:suppressAutoHyphens/>
        <w:spacing w:after="200" w:line="270" w:lineRule="exact"/>
        <w:jc w:val="both"/>
        <w:rPr>
          <w:rFonts w:ascii="Arial" w:eastAsiaTheme="minorHAnsi" w:hAnsi="Arial" w:cs="Arial"/>
          <w:b/>
          <w:sz w:val="22"/>
          <w:szCs w:val="22"/>
          <w:lang w:eastAsia="en-US"/>
        </w:rPr>
      </w:pPr>
      <w:r w:rsidRPr="006B4DF6">
        <w:rPr>
          <w:rFonts w:ascii="Arial" w:eastAsiaTheme="minorHAnsi" w:hAnsi="Arial" w:cs="Arial"/>
          <w:b/>
          <w:sz w:val="22"/>
          <w:szCs w:val="22"/>
          <w:lang w:eastAsia="en-US"/>
        </w:rPr>
        <w:t>Une conjoncture tempérée p</w:t>
      </w:r>
      <w:r w:rsidR="002F3AAE">
        <w:rPr>
          <w:rFonts w:ascii="Arial" w:eastAsiaTheme="minorHAnsi" w:hAnsi="Arial" w:cs="Arial"/>
          <w:b/>
          <w:sz w:val="22"/>
          <w:szCs w:val="22"/>
          <w:lang w:eastAsia="en-US"/>
        </w:rPr>
        <w:t>our 2014 et 2015</w:t>
      </w:r>
    </w:p>
    <w:p w14:paraId="7A09A2D5" w14:textId="109FD4C0" w:rsidR="00BD52B5" w:rsidRDefault="00C432B1" w:rsidP="006B4DF6">
      <w:pPr>
        <w:pStyle w:val="Paragraphedeliste"/>
        <w:numPr>
          <w:ilvl w:val="0"/>
          <w:numId w:val="6"/>
        </w:numPr>
        <w:suppressAutoHyphens/>
        <w:spacing w:after="200" w:line="270" w:lineRule="exact"/>
        <w:jc w:val="both"/>
        <w:rPr>
          <w:rFonts w:ascii="Arial" w:eastAsiaTheme="minorHAnsi" w:hAnsi="Arial" w:cs="Arial"/>
          <w:sz w:val="20"/>
          <w:szCs w:val="22"/>
          <w:lang w:eastAsia="en-US"/>
        </w:rPr>
      </w:pPr>
      <w:r w:rsidRPr="00154204">
        <w:rPr>
          <w:rFonts w:ascii="Arial" w:eastAsiaTheme="minorHAnsi" w:hAnsi="Arial" w:cs="Arial"/>
          <w:sz w:val="20"/>
          <w:szCs w:val="22"/>
          <w:lang w:eastAsia="en-US"/>
        </w:rPr>
        <w:t xml:space="preserve">Coface </w:t>
      </w:r>
      <w:r w:rsidR="005549A9" w:rsidRPr="00154204">
        <w:rPr>
          <w:rFonts w:ascii="Arial" w:eastAsiaTheme="minorHAnsi" w:hAnsi="Arial" w:cs="Arial"/>
          <w:sz w:val="20"/>
          <w:szCs w:val="22"/>
          <w:lang w:eastAsia="en-US"/>
        </w:rPr>
        <w:t xml:space="preserve">table </w:t>
      </w:r>
      <w:r w:rsidR="00981AAA">
        <w:rPr>
          <w:rFonts w:ascii="Arial" w:eastAsiaTheme="minorHAnsi" w:hAnsi="Arial" w:cs="Arial"/>
          <w:sz w:val="20"/>
          <w:szCs w:val="22"/>
          <w:lang w:eastAsia="en-US"/>
        </w:rPr>
        <w:t>sur</w:t>
      </w:r>
      <w:r w:rsidR="00981AAA" w:rsidRPr="00154204">
        <w:rPr>
          <w:rFonts w:ascii="Arial" w:eastAsiaTheme="minorHAnsi" w:hAnsi="Arial" w:cs="Arial"/>
          <w:sz w:val="20"/>
          <w:szCs w:val="22"/>
          <w:lang w:eastAsia="en-US"/>
        </w:rPr>
        <w:t xml:space="preserve"> </w:t>
      </w:r>
      <w:r w:rsidR="005549A9" w:rsidRPr="00154204">
        <w:rPr>
          <w:rFonts w:ascii="Arial" w:eastAsiaTheme="minorHAnsi" w:hAnsi="Arial" w:cs="Arial"/>
          <w:sz w:val="20"/>
          <w:szCs w:val="22"/>
          <w:lang w:eastAsia="en-US"/>
        </w:rPr>
        <w:t xml:space="preserve">une croissance </w:t>
      </w:r>
      <w:r w:rsidR="00981AAA">
        <w:rPr>
          <w:rFonts w:ascii="Arial" w:eastAsiaTheme="minorHAnsi" w:hAnsi="Arial" w:cs="Arial"/>
          <w:sz w:val="20"/>
          <w:szCs w:val="22"/>
          <w:lang w:eastAsia="en-US"/>
        </w:rPr>
        <w:t>du PIB</w:t>
      </w:r>
      <w:r w:rsidR="00981AAA" w:rsidRPr="00154204">
        <w:rPr>
          <w:rFonts w:ascii="Arial" w:eastAsiaTheme="minorHAnsi" w:hAnsi="Arial" w:cs="Arial"/>
          <w:sz w:val="20"/>
          <w:szCs w:val="22"/>
          <w:lang w:eastAsia="en-US"/>
        </w:rPr>
        <w:t xml:space="preserve"> </w:t>
      </w:r>
      <w:r w:rsidR="00F368F9">
        <w:rPr>
          <w:rFonts w:ascii="Arial" w:eastAsiaTheme="minorHAnsi" w:hAnsi="Arial" w:cs="Arial"/>
          <w:sz w:val="20"/>
          <w:szCs w:val="22"/>
          <w:lang w:eastAsia="en-US"/>
        </w:rPr>
        <w:t>à 0,4</w:t>
      </w:r>
      <w:r w:rsidR="002F3565" w:rsidRPr="00154204">
        <w:rPr>
          <w:rFonts w:ascii="Arial" w:eastAsiaTheme="minorHAnsi" w:hAnsi="Arial" w:cs="Arial"/>
          <w:sz w:val="20"/>
          <w:szCs w:val="22"/>
          <w:lang w:eastAsia="en-US"/>
        </w:rPr>
        <w:t xml:space="preserve">% </w:t>
      </w:r>
      <w:r w:rsidR="00981AAA">
        <w:rPr>
          <w:rFonts w:ascii="Arial" w:eastAsiaTheme="minorHAnsi" w:hAnsi="Arial" w:cs="Arial"/>
          <w:sz w:val="20"/>
          <w:szCs w:val="22"/>
          <w:lang w:eastAsia="en-US"/>
        </w:rPr>
        <w:t xml:space="preserve">en France </w:t>
      </w:r>
      <w:r w:rsidR="002F3565" w:rsidRPr="00154204">
        <w:rPr>
          <w:rFonts w:ascii="Arial" w:eastAsiaTheme="minorHAnsi" w:hAnsi="Arial" w:cs="Arial"/>
          <w:sz w:val="20"/>
          <w:szCs w:val="22"/>
          <w:lang w:eastAsia="en-US"/>
        </w:rPr>
        <w:t>en 201</w:t>
      </w:r>
      <w:r w:rsidR="00F368F9">
        <w:rPr>
          <w:rFonts w:ascii="Arial" w:eastAsiaTheme="minorHAnsi" w:hAnsi="Arial" w:cs="Arial"/>
          <w:sz w:val="20"/>
          <w:szCs w:val="22"/>
          <w:lang w:eastAsia="en-US"/>
        </w:rPr>
        <w:t>4</w:t>
      </w:r>
      <w:r w:rsidR="002F3565" w:rsidRPr="00154204">
        <w:rPr>
          <w:rFonts w:ascii="Arial" w:eastAsiaTheme="minorHAnsi" w:hAnsi="Arial" w:cs="Arial"/>
          <w:sz w:val="20"/>
          <w:szCs w:val="22"/>
          <w:lang w:eastAsia="en-US"/>
        </w:rPr>
        <w:t>.</w:t>
      </w:r>
      <w:r w:rsidRPr="00154204">
        <w:rPr>
          <w:rFonts w:ascii="Arial" w:eastAsiaTheme="minorHAnsi" w:hAnsi="Arial" w:cs="Arial"/>
          <w:sz w:val="20"/>
          <w:szCs w:val="22"/>
          <w:lang w:eastAsia="en-US"/>
        </w:rPr>
        <w:t xml:space="preserve"> </w:t>
      </w:r>
      <w:r w:rsidR="00F368F9">
        <w:rPr>
          <w:rFonts w:ascii="Arial" w:eastAsiaTheme="minorHAnsi" w:hAnsi="Arial" w:cs="Arial"/>
          <w:sz w:val="20"/>
          <w:szCs w:val="22"/>
          <w:lang w:eastAsia="en-US"/>
        </w:rPr>
        <w:t xml:space="preserve">Le crédit </w:t>
      </w:r>
      <w:proofErr w:type="gramStart"/>
      <w:r w:rsidR="00F368F9">
        <w:rPr>
          <w:rFonts w:ascii="Arial" w:eastAsiaTheme="minorHAnsi" w:hAnsi="Arial" w:cs="Arial"/>
          <w:sz w:val="20"/>
          <w:szCs w:val="22"/>
          <w:lang w:eastAsia="en-US"/>
        </w:rPr>
        <w:t>aux entreprises non-financières</w:t>
      </w:r>
      <w:proofErr w:type="gramEnd"/>
      <w:r w:rsidR="00F368F9">
        <w:rPr>
          <w:rFonts w:ascii="Arial" w:eastAsiaTheme="minorHAnsi" w:hAnsi="Arial" w:cs="Arial"/>
          <w:sz w:val="20"/>
          <w:szCs w:val="22"/>
          <w:lang w:eastAsia="en-US"/>
        </w:rPr>
        <w:t xml:space="preserve"> progresse</w:t>
      </w:r>
      <w:r w:rsidR="002F3AAE">
        <w:rPr>
          <w:rFonts w:ascii="Arial" w:eastAsiaTheme="minorHAnsi" w:hAnsi="Arial" w:cs="Arial"/>
          <w:sz w:val="20"/>
          <w:szCs w:val="22"/>
          <w:lang w:eastAsia="en-US"/>
        </w:rPr>
        <w:t>,</w:t>
      </w:r>
      <w:r w:rsidR="00F368F9">
        <w:rPr>
          <w:rFonts w:ascii="Arial" w:eastAsiaTheme="minorHAnsi" w:hAnsi="Arial" w:cs="Arial"/>
          <w:sz w:val="20"/>
          <w:szCs w:val="22"/>
          <w:lang w:eastAsia="en-US"/>
        </w:rPr>
        <w:t xml:space="preserve"> tout comme le climat des affair</w:t>
      </w:r>
      <w:r w:rsidR="002F3AAE">
        <w:rPr>
          <w:rFonts w:ascii="Arial" w:eastAsiaTheme="minorHAnsi" w:hAnsi="Arial" w:cs="Arial"/>
          <w:sz w:val="20"/>
          <w:szCs w:val="22"/>
          <w:lang w:eastAsia="en-US"/>
        </w:rPr>
        <w:t xml:space="preserve">es sur les deux derniers mois. </w:t>
      </w:r>
      <w:r w:rsidR="00981AAA">
        <w:rPr>
          <w:rFonts w:ascii="Arial" w:eastAsiaTheme="minorHAnsi" w:hAnsi="Arial" w:cs="Arial"/>
          <w:sz w:val="20"/>
          <w:szCs w:val="22"/>
          <w:lang w:eastAsia="en-US"/>
        </w:rPr>
        <w:t>En outre</w:t>
      </w:r>
      <w:r w:rsidR="00F368F9">
        <w:rPr>
          <w:rFonts w:ascii="Arial" w:eastAsiaTheme="minorHAnsi" w:hAnsi="Arial" w:cs="Arial"/>
          <w:sz w:val="20"/>
          <w:szCs w:val="22"/>
          <w:lang w:eastAsia="en-US"/>
        </w:rPr>
        <w:t xml:space="preserve">, le rythme de </w:t>
      </w:r>
      <w:r w:rsidR="005549A9" w:rsidRPr="00154204">
        <w:rPr>
          <w:rFonts w:ascii="Arial" w:eastAsiaTheme="minorHAnsi" w:hAnsi="Arial" w:cs="Arial"/>
          <w:sz w:val="20"/>
          <w:szCs w:val="22"/>
          <w:lang w:eastAsia="en-US"/>
        </w:rPr>
        <w:t>création</w:t>
      </w:r>
      <w:r w:rsidR="002F3565" w:rsidRPr="00154204">
        <w:rPr>
          <w:rFonts w:ascii="Arial" w:eastAsiaTheme="minorHAnsi" w:hAnsi="Arial" w:cs="Arial"/>
          <w:sz w:val="20"/>
          <w:szCs w:val="22"/>
          <w:lang w:eastAsia="en-US"/>
        </w:rPr>
        <w:t>s</w:t>
      </w:r>
      <w:r w:rsidR="005549A9" w:rsidRPr="00154204">
        <w:rPr>
          <w:rFonts w:ascii="Arial" w:eastAsiaTheme="minorHAnsi" w:hAnsi="Arial" w:cs="Arial"/>
          <w:sz w:val="20"/>
          <w:szCs w:val="22"/>
          <w:lang w:eastAsia="en-US"/>
        </w:rPr>
        <w:t xml:space="preserve"> d’entreprises </w:t>
      </w:r>
      <w:r w:rsidR="00F368F9">
        <w:rPr>
          <w:rFonts w:ascii="Arial" w:eastAsiaTheme="minorHAnsi" w:hAnsi="Arial" w:cs="Arial"/>
          <w:sz w:val="20"/>
          <w:szCs w:val="22"/>
          <w:lang w:eastAsia="en-US"/>
        </w:rPr>
        <w:t xml:space="preserve">modéré entre 2012 et 2013 </w:t>
      </w:r>
      <w:r w:rsidR="00981AAA">
        <w:rPr>
          <w:rFonts w:ascii="Arial" w:eastAsiaTheme="minorHAnsi" w:hAnsi="Arial" w:cs="Arial"/>
          <w:sz w:val="20"/>
          <w:szCs w:val="22"/>
          <w:lang w:eastAsia="en-US"/>
        </w:rPr>
        <w:t xml:space="preserve">pousse Coface à </w:t>
      </w:r>
      <w:r w:rsidR="002F3AAE">
        <w:rPr>
          <w:rFonts w:ascii="Arial" w:eastAsiaTheme="minorHAnsi" w:hAnsi="Arial" w:cs="Arial"/>
          <w:sz w:val="20"/>
          <w:szCs w:val="22"/>
          <w:lang w:eastAsia="en-US"/>
        </w:rPr>
        <w:t>s’</w:t>
      </w:r>
      <w:r w:rsidR="00981AAA">
        <w:rPr>
          <w:rFonts w:ascii="Arial" w:eastAsiaTheme="minorHAnsi" w:hAnsi="Arial" w:cs="Arial"/>
          <w:sz w:val="20"/>
          <w:szCs w:val="22"/>
          <w:lang w:eastAsia="en-US"/>
        </w:rPr>
        <w:t>attendre</w:t>
      </w:r>
      <w:r w:rsidR="00BD52B5" w:rsidRPr="00154204">
        <w:rPr>
          <w:rFonts w:ascii="Arial" w:eastAsiaTheme="minorHAnsi" w:hAnsi="Arial" w:cs="Arial"/>
          <w:sz w:val="20"/>
          <w:szCs w:val="22"/>
          <w:lang w:eastAsia="en-US"/>
        </w:rPr>
        <w:t xml:space="preserve"> </w:t>
      </w:r>
      <w:r w:rsidR="002F3AAE">
        <w:rPr>
          <w:rFonts w:ascii="Arial" w:eastAsiaTheme="minorHAnsi" w:hAnsi="Arial" w:cs="Arial"/>
          <w:sz w:val="20"/>
          <w:szCs w:val="22"/>
          <w:lang w:eastAsia="en-US"/>
        </w:rPr>
        <w:t xml:space="preserve">à </w:t>
      </w:r>
      <w:r w:rsidR="00981AAA">
        <w:rPr>
          <w:rFonts w:ascii="Arial" w:eastAsiaTheme="minorHAnsi" w:hAnsi="Arial" w:cs="Arial"/>
          <w:sz w:val="20"/>
          <w:szCs w:val="22"/>
          <w:lang w:eastAsia="en-US"/>
        </w:rPr>
        <w:t>une</w:t>
      </w:r>
      <w:r w:rsidR="00BD52B5" w:rsidRPr="00154204">
        <w:rPr>
          <w:rFonts w:ascii="Arial" w:eastAsiaTheme="minorHAnsi" w:hAnsi="Arial" w:cs="Arial"/>
          <w:sz w:val="20"/>
          <w:szCs w:val="22"/>
          <w:lang w:eastAsia="en-US"/>
        </w:rPr>
        <w:t xml:space="preserve"> diminution du nombre des défaillances </w:t>
      </w:r>
      <w:r w:rsidR="002F3AAE">
        <w:rPr>
          <w:rFonts w:ascii="Arial" w:eastAsiaTheme="minorHAnsi" w:hAnsi="Arial" w:cs="Arial"/>
          <w:sz w:val="20"/>
          <w:szCs w:val="22"/>
          <w:lang w:eastAsia="en-US"/>
        </w:rPr>
        <w:t xml:space="preserve">à 62 800 pour l’ensemble de l’année 2014, </w:t>
      </w:r>
      <w:r w:rsidR="00BD52B5" w:rsidRPr="00BD52B5">
        <w:rPr>
          <w:rFonts w:ascii="Arial" w:eastAsiaTheme="minorHAnsi" w:hAnsi="Arial" w:cs="Arial"/>
          <w:sz w:val="20"/>
          <w:szCs w:val="22"/>
          <w:lang w:eastAsia="en-US"/>
        </w:rPr>
        <w:t xml:space="preserve">soit </w:t>
      </w:r>
      <w:r w:rsidR="002F3AAE">
        <w:rPr>
          <w:rFonts w:ascii="Arial" w:eastAsiaTheme="minorHAnsi" w:hAnsi="Arial" w:cs="Arial"/>
          <w:sz w:val="20"/>
          <w:szCs w:val="22"/>
          <w:lang w:eastAsia="en-US"/>
        </w:rPr>
        <w:t xml:space="preserve">une baisse </w:t>
      </w:r>
      <w:r w:rsidR="00BD52B5" w:rsidRPr="00BD52B5">
        <w:rPr>
          <w:rFonts w:ascii="Arial" w:eastAsiaTheme="minorHAnsi" w:hAnsi="Arial" w:cs="Arial"/>
          <w:sz w:val="20"/>
          <w:szCs w:val="22"/>
          <w:lang w:eastAsia="en-US"/>
        </w:rPr>
        <w:t>-1,2% par rapport à 2013</w:t>
      </w:r>
      <w:r w:rsidR="002F3AAE">
        <w:rPr>
          <w:rFonts w:ascii="Arial" w:eastAsiaTheme="minorHAnsi" w:hAnsi="Arial" w:cs="Arial"/>
          <w:sz w:val="20"/>
          <w:szCs w:val="22"/>
          <w:lang w:eastAsia="en-US"/>
        </w:rPr>
        <w:t>.</w:t>
      </w:r>
    </w:p>
    <w:p w14:paraId="33A44406" w14:textId="53D36B4C" w:rsidR="00BD52B5" w:rsidRPr="00BD52B5" w:rsidRDefault="006D00D5" w:rsidP="006B4DF6">
      <w:pPr>
        <w:pStyle w:val="Paragraphedeliste"/>
        <w:numPr>
          <w:ilvl w:val="0"/>
          <w:numId w:val="6"/>
        </w:numPr>
        <w:suppressAutoHyphens/>
        <w:spacing w:after="200" w:line="270" w:lineRule="exact"/>
        <w:jc w:val="both"/>
        <w:rPr>
          <w:rFonts w:ascii="Arial" w:eastAsiaTheme="minorHAnsi" w:hAnsi="Arial" w:cs="Arial"/>
          <w:sz w:val="20"/>
          <w:szCs w:val="22"/>
          <w:lang w:eastAsia="en-US"/>
        </w:rPr>
      </w:pPr>
      <w:r>
        <w:rPr>
          <w:rFonts w:ascii="Arial" w:eastAsiaTheme="minorHAnsi" w:hAnsi="Arial" w:cs="Arial"/>
          <w:sz w:val="20"/>
          <w:szCs w:val="22"/>
          <w:lang w:eastAsia="en-US"/>
        </w:rPr>
        <w:t>Une</w:t>
      </w:r>
      <w:r w:rsidR="00F13D0B">
        <w:rPr>
          <w:rFonts w:ascii="Arial" w:eastAsiaTheme="minorHAnsi" w:hAnsi="Arial" w:cs="Arial"/>
          <w:sz w:val="20"/>
          <w:szCs w:val="22"/>
          <w:lang w:eastAsia="en-US"/>
        </w:rPr>
        <w:t xml:space="preserve"> conjoncture</w:t>
      </w:r>
      <w:r w:rsidR="00B7622A">
        <w:rPr>
          <w:rFonts w:ascii="Arial" w:eastAsiaTheme="minorHAnsi" w:hAnsi="Arial" w:cs="Arial"/>
          <w:sz w:val="20"/>
          <w:szCs w:val="22"/>
          <w:lang w:eastAsia="en-US"/>
        </w:rPr>
        <w:t xml:space="preserve"> économique</w:t>
      </w:r>
      <w:r w:rsidR="00F13D0B">
        <w:rPr>
          <w:rFonts w:ascii="Arial" w:eastAsiaTheme="minorHAnsi" w:hAnsi="Arial" w:cs="Arial"/>
          <w:sz w:val="20"/>
          <w:szCs w:val="22"/>
          <w:lang w:eastAsia="en-US"/>
        </w:rPr>
        <w:t xml:space="preserve"> </w:t>
      </w:r>
      <w:r>
        <w:rPr>
          <w:rFonts w:ascii="Arial" w:eastAsiaTheme="minorHAnsi" w:hAnsi="Arial" w:cs="Arial"/>
          <w:sz w:val="20"/>
          <w:szCs w:val="22"/>
          <w:lang w:eastAsia="en-US"/>
        </w:rPr>
        <w:t>serait probablement</w:t>
      </w:r>
      <w:r w:rsidR="002F3AAE">
        <w:rPr>
          <w:rFonts w:ascii="Arial" w:eastAsiaTheme="minorHAnsi" w:hAnsi="Arial" w:cs="Arial"/>
          <w:sz w:val="20"/>
          <w:szCs w:val="22"/>
          <w:lang w:eastAsia="en-US"/>
        </w:rPr>
        <w:t xml:space="preserve"> </w:t>
      </w:r>
      <w:r w:rsidR="00981AAA">
        <w:rPr>
          <w:rFonts w:ascii="Arial" w:eastAsiaTheme="minorHAnsi" w:hAnsi="Arial" w:cs="Arial"/>
          <w:sz w:val="20"/>
          <w:szCs w:val="22"/>
          <w:lang w:eastAsia="en-US"/>
        </w:rPr>
        <w:t xml:space="preserve">plus </w:t>
      </w:r>
      <w:r w:rsidR="00F13D0B">
        <w:rPr>
          <w:rFonts w:ascii="Arial" w:eastAsiaTheme="minorHAnsi" w:hAnsi="Arial" w:cs="Arial"/>
          <w:sz w:val="20"/>
          <w:szCs w:val="22"/>
          <w:lang w:eastAsia="en-US"/>
        </w:rPr>
        <w:t>favorable</w:t>
      </w:r>
      <w:r w:rsidR="00981AAA">
        <w:rPr>
          <w:rFonts w:ascii="Arial" w:eastAsiaTheme="minorHAnsi" w:hAnsi="Arial" w:cs="Arial"/>
          <w:sz w:val="20"/>
          <w:szCs w:val="22"/>
          <w:lang w:eastAsia="en-US"/>
        </w:rPr>
        <w:t xml:space="preserve"> en 2015</w:t>
      </w:r>
      <w:r>
        <w:rPr>
          <w:rFonts w:ascii="Arial" w:eastAsiaTheme="minorHAnsi" w:hAnsi="Arial" w:cs="Arial"/>
          <w:sz w:val="20"/>
          <w:szCs w:val="22"/>
          <w:lang w:eastAsia="en-US"/>
        </w:rPr>
        <w:t xml:space="preserve">, avec </w:t>
      </w:r>
      <w:r w:rsidR="00F368F9">
        <w:rPr>
          <w:rFonts w:ascii="Arial" w:eastAsiaTheme="minorHAnsi" w:hAnsi="Arial" w:cs="Arial"/>
          <w:sz w:val="20"/>
          <w:szCs w:val="22"/>
          <w:lang w:eastAsia="en-US"/>
        </w:rPr>
        <w:t xml:space="preserve">une </w:t>
      </w:r>
      <w:r w:rsidR="00981AAA">
        <w:rPr>
          <w:rFonts w:ascii="Arial" w:eastAsiaTheme="minorHAnsi" w:hAnsi="Arial" w:cs="Arial"/>
          <w:sz w:val="20"/>
          <w:szCs w:val="22"/>
          <w:lang w:eastAsia="en-US"/>
        </w:rPr>
        <w:t xml:space="preserve">croissance du PIB </w:t>
      </w:r>
      <w:r w:rsidR="00F368F9">
        <w:rPr>
          <w:rFonts w:ascii="Arial" w:eastAsiaTheme="minorHAnsi" w:hAnsi="Arial" w:cs="Arial"/>
          <w:sz w:val="20"/>
          <w:szCs w:val="22"/>
          <w:lang w:eastAsia="en-US"/>
        </w:rPr>
        <w:t>de 0,8%</w:t>
      </w:r>
      <w:r>
        <w:rPr>
          <w:rFonts w:ascii="Arial" w:eastAsiaTheme="minorHAnsi" w:hAnsi="Arial" w:cs="Arial"/>
          <w:sz w:val="20"/>
          <w:szCs w:val="22"/>
          <w:lang w:eastAsia="en-US"/>
        </w:rPr>
        <w:t>. Toutefois,</w:t>
      </w:r>
      <w:r w:rsidR="00F13D0B">
        <w:rPr>
          <w:rFonts w:ascii="Arial" w:eastAsiaTheme="minorHAnsi" w:hAnsi="Arial" w:cs="Arial"/>
          <w:sz w:val="20"/>
          <w:szCs w:val="22"/>
          <w:lang w:eastAsia="en-US"/>
        </w:rPr>
        <w:t xml:space="preserve"> le nombre </w:t>
      </w:r>
      <w:r w:rsidR="00F368F9">
        <w:rPr>
          <w:rFonts w:ascii="Arial" w:eastAsiaTheme="minorHAnsi" w:hAnsi="Arial" w:cs="Arial"/>
          <w:sz w:val="20"/>
          <w:szCs w:val="22"/>
          <w:lang w:eastAsia="en-US"/>
        </w:rPr>
        <w:t xml:space="preserve">élevé </w:t>
      </w:r>
      <w:r w:rsidR="00F13D0B">
        <w:rPr>
          <w:rFonts w:ascii="Arial" w:eastAsiaTheme="minorHAnsi" w:hAnsi="Arial" w:cs="Arial"/>
          <w:sz w:val="20"/>
          <w:szCs w:val="22"/>
          <w:lang w:eastAsia="en-US"/>
        </w:rPr>
        <w:t xml:space="preserve">de créations d’entreprises </w:t>
      </w:r>
      <w:r w:rsidR="002F3AAE">
        <w:rPr>
          <w:rFonts w:ascii="Arial" w:eastAsiaTheme="minorHAnsi" w:hAnsi="Arial" w:cs="Arial"/>
          <w:sz w:val="20"/>
          <w:szCs w:val="22"/>
          <w:lang w:eastAsia="en-US"/>
        </w:rPr>
        <w:t>cette année et</w:t>
      </w:r>
      <w:r w:rsidR="00F368F9">
        <w:rPr>
          <w:rFonts w:ascii="Arial" w:eastAsiaTheme="minorHAnsi" w:hAnsi="Arial" w:cs="Arial"/>
          <w:sz w:val="20"/>
          <w:szCs w:val="22"/>
          <w:lang w:eastAsia="en-US"/>
        </w:rPr>
        <w:t xml:space="preserve"> la mauvaise orientation des indicateurs de conjoncture du secteur immobilier (32,5% </w:t>
      </w:r>
      <w:r w:rsidR="002F3AAE">
        <w:rPr>
          <w:rFonts w:ascii="Arial" w:eastAsiaTheme="minorHAnsi" w:hAnsi="Arial" w:cs="Arial"/>
          <w:sz w:val="20"/>
          <w:szCs w:val="22"/>
          <w:lang w:eastAsia="en-US"/>
        </w:rPr>
        <w:t>du total des défaillances)</w:t>
      </w:r>
      <w:r w:rsidR="00B7622A">
        <w:rPr>
          <w:rFonts w:ascii="Arial" w:eastAsiaTheme="minorHAnsi" w:hAnsi="Arial" w:cs="Arial"/>
          <w:sz w:val="20"/>
          <w:szCs w:val="22"/>
          <w:lang w:eastAsia="en-US"/>
        </w:rPr>
        <w:t xml:space="preserve"> </w:t>
      </w:r>
      <w:r w:rsidR="00F368F9">
        <w:rPr>
          <w:rFonts w:ascii="Arial" w:eastAsiaTheme="minorHAnsi" w:hAnsi="Arial" w:cs="Arial"/>
          <w:sz w:val="20"/>
          <w:szCs w:val="22"/>
          <w:lang w:eastAsia="en-US"/>
        </w:rPr>
        <w:t xml:space="preserve">amène </w:t>
      </w:r>
      <w:r w:rsidR="00981AAA">
        <w:rPr>
          <w:rFonts w:ascii="Arial" w:eastAsiaTheme="minorHAnsi" w:hAnsi="Arial" w:cs="Arial"/>
          <w:sz w:val="20"/>
          <w:szCs w:val="22"/>
          <w:lang w:eastAsia="en-US"/>
        </w:rPr>
        <w:t>Coface</w:t>
      </w:r>
      <w:r w:rsidR="00F368F9">
        <w:rPr>
          <w:rFonts w:ascii="Arial" w:eastAsiaTheme="minorHAnsi" w:hAnsi="Arial" w:cs="Arial"/>
          <w:sz w:val="20"/>
          <w:szCs w:val="22"/>
          <w:lang w:eastAsia="en-US"/>
        </w:rPr>
        <w:t xml:space="preserve"> à </w:t>
      </w:r>
      <w:r w:rsidR="006B4DF6">
        <w:rPr>
          <w:rFonts w:ascii="Arial" w:eastAsiaTheme="minorHAnsi" w:hAnsi="Arial" w:cs="Arial"/>
          <w:sz w:val="20"/>
          <w:szCs w:val="22"/>
          <w:lang w:eastAsia="en-US"/>
        </w:rPr>
        <w:t>tabler sur</w:t>
      </w:r>
      <w:r w:rsidR="00BD52B5">
        <w:rPr>
          <w:rFonts w:ascii="Arial" w:eastAsiaTheme="minorHAnsi" w:hAnsi="Arial" w:cs="Arial"/>
          <w:sz w:val="20"/>
          <w:szCs w:val="22"/>
          <w:lang w:eastAsia="en-US"/>
        </w:rPr>
        <w:t xml:space="preserve"> 62</w:t>
      </w:r>
      <w:r w:rsidR="00981AAA">
        <w:rPr>
          <w:rFonts w:ascii="Arial" w:eastAsiaTheme="minorHAnsi" w:hAnsi="Arial" w:cs="Arial"/>
          <w:sz w:val="20"/>
          <w:szCs w:val="22"/>
          <w:lang w:eastAsia="en-US"/>
        </w:rPr>
        <w:t> </w:t>
      </w:r>
      <w:r w:rsidR="00BD52B5">
        <w:rPr>
          <w:rFonts w:ascii="Arial" w:eastAsiaTheme="minorHAnsi" w:hAnsi="Arial" w:cs="Arial"/>
          <w:sz w:val="20"/>
          <w:szCs w:val="22"/>
          <w:lang w:eastAsia="en-US"/>
        </w:rPr>
        <w:t>500</w:t>
      </w:r>
      <w:r w:rsidR="00981AAA">
        <w:rPr>
          <w:rFonts w:ascii="Arial" w:eastAsiaTheme="minorHAnsi" w:hAnsi="Arial" w:cs="Arial"/>
          <w:sz w:val="20"/>
          <w:szCs w:val="22"/>
          <w:lang w:eastAsia="en-US"/>
        </w:rPr>
        <w:t xml:space="preserve"> défaillances en 2015</w:t>
      </w:r>
      <w:r>
        <w:rPr>
          <w:rFonts w:ascii="Arial" w:eastAsiaTheme="minorHAnsi" w:hAnsi="Arial" w:cs="Arial"/>
          <w:sz w:val="20"/>
          <w:szCs w:val="22"/>
          <w:lang w:eastAsia="en-US"/>
        </w:rPr>
        <w:t xml:space="preserve">, </w:t>
      </w:r>
      <w:r w:rsidR="00BD52B5" w:rsidRPr="00BD52B5">
        <w:rPr>
          <w:rFonts w:ascii="Arial" w:eastAsiaTheme="minorHAnsi" w:hAnsi="Arial" w:cs="Arial"/>
          <w:sz w:val="20"/>
          <w:szCs w:val="22"/>
          <w:lang w:eastAsia="en-US"/>
        </w:rPr>
        <w:t xml:space="preserve">soit </w:t>
      </w:r>
      <w:r w:rsidR="00981AAA">
        <w:rPr>
          <w:rFonts w:ascii="Arial" w:eastAsiaTheme="minorHAnsi" w:hAnsi="Arial" w:cs="Arial"/>
          <w:sz w:val="20"/>
          <w:szCs w:val="22"/>
          <w:lang w:eastAsia="en-US"/>
        </w:rPr>
        <w:t>une légère contraction de</w:t>
      </w:r>
      <w:r w:rsidR="00BD52B5" w:rsidRPr="00BD52B5">
        <w:rPr>
          <w:rFonts w:ascii="Arial" w:eastAsiaTheme="minorHAnsi" w:hAnsi="Arial" w:cs="Arial"/>
          <w:sz w:val="20"/>
          <w:szCs w:val="22"/>
          <w:lang w:eastAsia="en-US"/>
        </w:rPr>
        <w:t>-0,5% par rapport à 2014</w:t>
      </w:r>
      <w:r w:rsidR="00BD52B5">
        <w:rPr>
          <w:rFonts w:ascii="Arial" w:eastAsiaTheme="minorHAnsi" w:hAnsi="Arial" w:cs="Arial"/>
          <w:sz w:val="20"/>
          <w:szCs w:val="22"/>
          <w:lang w:eastAsia="en-US"/>
        </w:rPr>
        <w:t xml:space="preserve">. </w:t>
      </w:r>
    </w:p>
    <w:tbl>
      <w:tblPr>
        <w:tblStyle w:val="Grilledutableau"/>
        <w:tblW w:w="8540" w:type="dxa"/>
        <w:jc w:val="center"/>
        <w:tblInd w:w="19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8540"/>
      </w:tblGrid>
      <w:tr w:rsidR="006B4DF6" w:rsidRPr="00C0461B" w14:paraId="780A72F7" w14:textId="77777777" w:rsidTr="002A223A">
        <w:trPr>
          <w:trHeight w:val="220"/>
          <w:jc w:val="center"/>
        </w:trPr>
        <w:tc>
          <w:tcPr>
            <w:tcW w:w="8540" w:type="dxa"/>
          </w:tcPr>
          <w:p w14:paraId="6FBADE8D" w14:textId="77777777" w:rsidR="006B4DF6" w:rsidRPr="00E31709" w:rsidRDefault="006B4DF6" w:rsidP="006B4DF6">
            <w:pPr>
              <w:pStyle w:val="Pieddepage"/>
              <w:spacing w:line="200" w:lineRule="exact"/>
              <w:ind w:left="720"/>
              <w:rPr>
                <w:rFonts w:ascii="Arial" w:hAnsi="Arial" w:cs="Arial"/>
                <w:b/>
                <w:sz w:val="18"/>
                <w:szCs w:val="18"/>
              </w:rPr>
            </w:pPr>
          </w:p>
          <w:p w14:paraId="6EF8CB52" w14:textId="77777777" w:rsidR="006B4DF6" w:rsidRDefault="006B4DF6" w:rsidP="006B4DF6">
            <w:pPr>
              <w:pStyle w:val="Pieddepage"/>
              <w:spacing w:line="200" w:lineRule="exact"/>
              <w:rPr>
                <w:rFonts w:ascii="Arial" w:hAnsi="Arial" w:cs="Arial"/>
                <w:sz w:val="18"/>
                <w:szCs w:val="18"/>
                <w:lang w:val="en-GB"/>
              </w:rPr>
            </w:pPr>
            <w:r w:rsidRPr="00C0461B">
              <w:rPr>
                <w:rFonts w:ascii="Arial" w:hAnsi="Arial" w:cs="Arial"/>
                <w:b/>
                <w:sz w:val="18"/>
                <w:szCs w:val="18"/>
                <w:lang w:val="en-GB"/>
              </w:rPr>
              <w:t>CONTACT</w:t>
            </w:r>
            <w:r>
              <w:rPr>
                <w:rFonts w:ascii="Arial" w:hAnsi="Arial" w:cs="Arial"/>
                <w:b/>
                <w:sz w:val="18"/>
                <w:szCs w:val="18"/>
                <w:lang w:val="en-GB"/>
              </w:rPr>
              <w:t>S MEDIA</w:t>
            </w:r>
            <w:r w:rsidRPr="00C0461B">
              <w:rPr>
                <w:rFonts w:ascii="Arial" w:hAnsi="Arial" w:cs="Arial"/>
                <w:sz w:val="18"/>
                <w:szCs w:val="18"/>
                <w:lang w:val="en-GB"/>
              </w:rPr>
              <w:t xml:space="preserve">: </w:t>
            </w:r>
          </w:p>
          <w:p w14:paraId="599CEB9E" w14:textId="77777777" w:rsidR="006B4DF6" w:rsidRPr="006B4DF6" w:rsidRDefault="006B4DF6" w:rsidP="006B4DF6">
            <w:pPr>
              <w:pStyle w:val="Pieddepage"/>
              <w:spacing w:line="200" w:lineRule="exact"/>
              <w:rPr>
                <w:rFonts w:ascii="Arial" w:hAnsi="Arial" w:cs="Arial"/>
                <w:sz w:val="18"/>
                <w:szCs w:val="18"/>
              </w:rPr>
            </w:pPr>
            <w:r w:rsidRPr="006B4DF6">
              <w:rPr>
                <w:rFonts w:ascii="Arial" w:hAnsi="Arial" w:cs="Arial"/>
                <w:sz w:val="18"/>
                <w:szCs w:val="18"/>
              </w:rPr>
              <w:t xml:space="preserve">Maria KRELLENSTEIN -  T. +33 (0)1 49 02 16 29  </w:t>
            </w:r>
            <w:hyperlink r:id="rId9" w:history="1">
              <w:r w:rsidRPr="006B4DF6">
                <w:rPr>
                  <w:rStyle w:val="Lienhypertexte"/>
                  <w:rFonts w:ascii="Arial" w:hAnsi="Arial" w:cs="Arial"/>
                  <w:sz w:val="18"/>
                  <w:szCs w:val="18"/>
                </w:rPr>
                <w:t>maria.krellenstein@coface.com</w:t>
              </w:r>
            </w:hyperlink>
          </w:p>
          <w:p w14:paraId="7407FCB7" w14:textId="77777777" w:rsidR="006B4DF6" w:rsidRDefault="006B4DF6" w:rsidP="006B4DF6">
            <w:pPr>
              <w:spacing w:line="200" w:lineRule="exact"/>
              <w:rPr>
                <w:rStyle w:val="Lienhypertexte"/>
                <w:rFonts w:ascii="Arial" w:hAnsi="Arial" w:cs="Arial"/>
                <w:sz w:val="18"/>
                <w:szCs w:val="18"/>
              </w:rPr>
            </w:pPr>
            <w:r w:rsidRPr="006B4DF6">
              <w:rPr>
                <w:rFonts w:ascii="Arial" w:hAnsi="Arial" w:cs="Arial"/>
                <w:sz w:val="18"/>
                <w:szCs w:val="18"/>
              </w:rPr>
              <w:t xml:space="preserve">Justine LANSAC – T. +33 (0)1 49 02 24 48  </w:t>
            </w:r>
            <w:hyperlink r:id="rId10" w:history="1">
              <w:r w:rsidRPr="006B4DF6">
                <w:rPr>
                  <w:rStyle w:val="Lienhypertexte"/>
                  <w:rFonts w:ascii="Arial" w:hAnsi="Arial" w:cs="Arial"/>
                  <w:sz w:val="18"/>
                  <w:szCs w:val="18"/>
                </w:rPr>
                <w:t>justine.lansac@coface.com</w:t>
              </w:r>
            </w:hyperlink>
          </w:p>
          <w:p w14:paraId="16B9FB4D" w14:textId="77777777" w:rsidR="009A0E8E" w:rsidRDefault="009A0E8E" w:rsidP="006B4DF6">
            <w:pPr>
              <w:spacing w:line="200" w:lineRule="exact"/>
              <w:rPr>
                <w:rStyle w:val="Lienhypertexte"/>
                <w:rFonts w:ascii="Arial" w:hAnsi="Arial" w:cs="Arial"/>
                <w:sz w:val="18"/>
                <w:szCs w:val="18"/>
              </w:rPr>
            </w:pPr>
          </w:p>
          <w:p w14:paraId="77EA786F" w14:textId="77777777" w:rsidR="009A0E8E" w:rsidRDefault="009A0E8E" w:rsidP="006B4DF6">
            <w:pPr>
              <w:spacing w:line="200" w:lineRule="exact"/>
              <w:rPr>
                <w:rStyle w:val="Lienhypertexte"/>
                <w:rFonts w:ascii="Arial" w:hAnsi="Arial" w:cs="Arial"/>
                <w:sz w:val="18"/>
                <w:szCs w:val="18"/>
              </w:rPr>
            </w:pPr>
          </w:p>
          <w:p w14:paraId="791B34C1" w14:textId="77777777" w:rsidR="009A0E8E" w:rsidRDefault="009A0E8E" w:rsidP="006B4DF6">
            <w:pPr>
              <w:spacing w:line="200" w:lineRule="exact"/>
              <w:rPr>
                <w:rStyle w:val="Lienhypertexte"/>
                <w:rFonts w:ascii="Arial" w:hAnsi="Arial" w:cs="Arial"/>
                <w:sz w:val="18"/>
                <w:szCs w:val="18"/>
              </w:rPr>
            </w:pPr>
          </w:p>
          <w:p w14:paraId="23C3C8D3" w14:textId="77777777" w:rsidR="009A0E8E" w:rsidRDefault="009A0E8E" w:rsidP="006B4DF6">
            <w:pPr>
              <w:spacing w:line="200" w:lineRule="exact"/>
              <w:rPr>
                <w:rStyle w:val="Lienhypertexte"/>
                <w:rFonts w:ascii="Arial" w:hAnsi="Arial" w:cs="Arial"/>
                <w:sz w:val="18"/>
                <w:szCs w:val="18"/>
              </w:rPr>
            </w:pPr>
          </w:p>
          <w:p w14:paraId="28FC121B" w14:textId="77777777" w:rsidR="009A0E8E" w:rsidRDefault="009A0E8E" w:rsidP="006B4DF6">
            <w:pPr>
              <w:spacing w:line="200" w:lineRule="exact"/>
              <w:rPr>
                <w:rStyle w:val="Lienhypertexte"/>
                <w:rFonts w:ascii="Arial" w:hAnsi="Arial" w:cs="Arial"/>
                <w:sz w:val="18"/>
                <w:szCs w:val="18"/>
              </w:rPr>
            </w:pPr>
          </w:p>
          <w:p w14:paraId="694F6C46" w14:textId="77777777" w:rsidR="009A0E8E" w:rsidRDefault="009A0E8E" w:rsidP="006B4DF6">
            <w:pPr>
              <w:spacing w:line="200" w:lineRule="exact"/>
              <w:rPr>
                <w:rStyle w:val="Lienhypertexte"/>
                <w:rFonts w:ascii="Arial" w:hAnsi="Arial" w:cs="Arial"/>
                <w:sz w:val="18"/>
                <w:szCs w:val="18"/>
              </w:rPr>
            </w:pPr>
          </w:p>
          <w:p w14:paraId="26F9AACC" w14:textId="77777777" w:rsidR="009A0E8E" w:rsidRPr="006B4DF6" w:rsidRDefault="009A0E8E" w:rsidP="006B4DF6">
            <w:pPr>
              <w:spacing w:line="200" w:lineRule="exact"/>
              <w:rPr>
                <w:rStyle w:val="Lienhypertexte"/>
                <w:rFonts w:ascii="Arial" w:hAnsi="Arial" w:cs="Arial"/>
                <w:sz w:val="18"/>
                <w:szCs w:val="18"/>
              </w:rPr>
            </w:pPr>
            <w:bookmarkStart w:id="0" w:name="_GoBack"/>
            <w:bookmarkEnd w:id="0"/>
          </w:p>
          <w:p w14:paraId="7176DD08" w14:textId="77777777" w:rsidR="006B4DF6" w:rsidRPr="00A81EB0" w:rsidRDefault="006B4DF6" w:rsidP="00A81EB0">
            <w:pPr>
              <w:spacing w:line="200" w:lineRule="exact"/>
              <w:rPr>
                <w:rFonts w:ascii="Arial" w:hAnsi="Arial" w:cs="Arial"/>
                <w:color w:val="0000FF"/>
                <w:sz w:val="18"/>
                <w:szCs w:val="18"/>
                <w:u w:val="single"/>
              </w:rPr>
            </w:pPr>
          </w:p>
        </w:tc>
      </w:tr>
    </w:tbl>
    <w:tbl>
      <w:tblPr>
        <w:tblW w:w="8540" w:type="dxa"/>
        <w:jc w:val="center"/>
        <w:tblInd w:w="1950" w:type="dxa"/>
        <w:tblLayout w:type="fixed"/>
        <w:tblCellMar>
          <w:left w:w="0" w:type="dxa"/>
          <w:right w:w="0" w:type="dxa"/>
        </w:tblCellMar>
        <w:tblLook w:val="00A0" w:firstRow="1" w:lastRow="0" w:firstColumn="1" w:lastColumn="0" w:noHBand="0" w:noVBand="0"/>
      </w:tblPr>
      <w:tblGrid>
        <w:gridCol w:w="8540"/>
      </w:tblGrid>
      <w:tr w:rsidR="006B4DF6" w:rsidRPr="00E11AEF" w14:paraId="77CEAF24" w14:textId="77777777" w:rsidTr="002A223A">
        <w:trPr>
          <w:trHeight w:val="220"/>
          <w:jc w:val="center"/>
        </w:trPr>
        <w:tc>
          <w:tcPr>
            <w:tcW w:w="8540" w:type="dxa"/>
            <w:shd w:val="clear" w:color="auto" w:fill="E9EDF4"/>
          </w:tcPr>
          <w:p w14:paraId="43E95FB2" w14:textId="77777777" w:rsidR="006B4DF6" w:rsidRPr="004B39D3" w:rsidRDefault="006B4DF6" w:rsidP="002A223A">
            <w:pPr>
              <w:spacing w:before="60" w:after="60" w:line="220" w:lineRule="atLeast"/>
              <w:ind w:left="113" w:right="113"/>
              <w:jc w:val="both"/>
              <w:rPr>
                <w:rFonts w:ascii="Arial" w:hAnsi="Arial" w:cs="Arial"/>
                <w:b/>
                <w:sz w:val="18"/>
                <w:szCs w:val="18"/>
              </w:rPr>
            </w:pPr>
            <w:r w:rsidRPr="004B39D3">
              <w:rPr>
                <w:rFonts w:ascii="Arial" w:hAnsi="Arial" w:cs="Arial"/>
                <w:b/>
                <w:sz w:val="18"/>
                <w:szCs w:val="18"/>
              </w:rPr>
              <w:lastRenderedPageBreak/>
              <w:t>A propos de Coface</w:t>
            </w:r>
          </w:p>
          <w:p w14:paraId="6B091424" w14:textId="77777777" w:rsidR="006B4DF6" w:rsidRPr="004B39D3" w:rsidRDefault="006B4DF6" w:rsidP="002A223A">
            <w:pPr>
              <w:ind w:left="142" w:right="141"/>
              <w:jc w:val="both"/>
              <w:rPr>
                <w:rFonts w:ascii="Arial" w:hAnsi="Arial" w:cs="Arial"/>
                <w:sz w:val="18"/>
                <w:szCs w:val="18"/>
              </w:rPr>
            </w:pPr>
            <w:r w:rsidRPr="004B39D3">
              <w:rPr>
                <w:rFonts w:ascii="Arial" w:hAnsi="Arial" w:cs="Arial"/>
                <w:sz w:val="18"/>
                <w:szCs w:val="18"/>
              </w:rPr>
              <w:t>Le groupe Coface, un leader mondial de l'assurance-crédit, propose aux entreprises du monde entier des solutions pour les protéger contre le risque de défaillance financière de leurs clients, sur leur ma</w:t>
            </w:r>
            <w:r w:rsidRPr="004B39D3">
              <w:rPr>
                <w:rFonts w:ascii="Arial" w:hAnsi="Arial" w:cs="Arial"/>
                <w:sz w:val="18"/>
                <w:szCs w:val="18"/>
              </w:rPr>
              <w:t>r</w:t>
            </w:r>
            <w:r w:rsidRPr="004B39D3">
              <w:rPr>
                <w:rFonts w:ascii="Arial" w:hAnsi="Arial" w:cs="Arial"/>
                <w:sz w:val="18"/>
                <w:szCs w:val="18"/>
              </w:rPr>
              <w:t>ché domestique et à l’export. En 2013, le Groupe, fort de 4 440 collaborateurs, a enregistré un chiffre d’affaires consolidé de 1 440 Md€. Présent directement ou indirectement dans 98 pays, il sécurise les transactions de plus de 37 000 entreprises dans plus de 200 pays. Chaque trimestre, Coface publie son évaluation du risque pays dans 160 pays, en s'appuyant sur sa connaissance unique du compo</w:t>
            </w:r>
            <w:r w:rsidRPr="004B39D3">
              <w:rPr>
                <w:rFonts w:ascii="Arial" w:hAnsi="Arial" w:cs="Arial"/>
                <w:sz w:val="18"/>
                <w:szCs w:val="18"/>
              </w:rPr>
              <w:t>r</w:t>
            </w:r>
            <w:r w:rsidRPr="004B39D3">
              <w:rPr>
                <w:rFonts w:ascii="Arial" w:hAnsi="Arial" w:cs="Arial"/>
                <w:sz w:val="18"/>
                <w:szCs w:val="18"/>
              </w:rPr>
              <w:t>tement de paiement des entreprises et sur l'expertise de ses 350 arbitres localisés au plus près des clients et de leurs débiteurs.</w:t>
            </w:r>
          </w:p>
          <w:p w14:paraId="5656992B" w14:textId="77777777" w:rsidR="006B4DF6" w:rsidRPr="004B39D3" w:rsidRDefault="006B4DF6" w:rsidP="002A223A">
            <w:pPr>
              <w:ind w:left="142" w:right="141"/>
              <w:jc w:val="both"/>
              <w:rPr>
                <w:rFonts w:ascii="Arial" w:hAnsi="Arial" w:cs="Arial"/>
                <w:sz w:val="18"/>
                <w:szCs w:val="18"/>
              </w:rPr>
            </w:pPr>
            <w:r w:rsidRPr="004B39D3">
              <w:rPr>
                <w:rFonts w:ascii="Arial" w:hAnsi="Arial" w:cs="Arial"/>
                <w:sz w:val="18"/>
                <w:szCs w:val="18"/>
              </w:rPr>
              <w:t xml:space="preserve">En France, le Groupe gère également  les garanties publiques à l'exportation pour le compte de l'Etat. </w:t>
            </w:r>
          </w:p>
          <w:p w14:paraId="533EFCA2" w14:textId="77777777" w:rsidR="006B4DF6" w:rsidRPr="004B39D3" w:rsidRDefault="009A0E8E" w:rsidP="002A223A">
            <w:pPr>
              <w:spacing w:before="60" w:after="60"/>
              <w:ind w:right="113"/>
              <w:jc w:val="center"/>
              <w:rPr>
                <w:rFonts w:ascii="Arial" w:hAnsi="Arial" w:cs="Arial"/>
                <w:color w:val="0000FF"/>
                <w:sz w:val="18"/>
                <w:szCs w:val="18"/>
                <w:u w:val="single"/>
              </w:rPr>
            </w:pPr>
            <w:hyperlink r:id="rId11" w:history="1">
              <w:r w:rsidR="006B4DF6" w:rsidRPr="004B39D3">
                <w:rPr>
                  <w:rStyle w:val="Lienhypertexte"/>
                  <w:rFonts w:ascii="Arial" w:hAnsi="Arial" w:cs="Arial"/>
                  <w:sz w:val="18"/>
                  <w:szCs w:val="18"/>
                </w:rPr>
                <w:t>www.coface.com</w:t>
              </w:r>
            </w:hyperlink>
          </w:p>
          <w:p w14:paraId="326EAFEA" w14:textId="77777777" w:rsidR="006B4DF6" w:rsidRPr="004B39D3" w:rsidRDefault="006B4DF6" w:rsidP="002A223A">
            <w:pPr>
              <w:spacing w:line="240" w:lineRule="atLeast"/>
              <w:ind w:left="101" w:right="141"/>
              <w:jc w:val="both"/>
              <w:rPr>
                <w:rFonts w:ascii="Arial" w:hAnsi="Arial" w:cs="Arial"/>
                <w:sz w:val="18"/>
                <w:szCs w:val="18"/>
              </w:rPr>
            </w:pPr>
            <w:r>
              <w:rPr>
                <w:rFonts w:ascii="Arial" w:hAnsi="Arial" w:cs="Arial"/>
                <w:b/>
                <w:noProof/>
                <w:sz w:val="18"/>
                <w:szCs w:val="18"/>
              </w:rPr>
              <w:drawing>
                <wp:anchor distT="0" distB="0" distL="114300" distR="114300" simplePos="0" relativeHeight="251663360" behindDoc="0" locked="0" layoutInCell="1" allowOverlap="1" wp14:anchorId="4F21EDCA" wp14:editId="63AC4602">
                  <wp:simplePos x="0" y="0"/>
                  <wp:positionH relativeFrom="column">
                    <wp:posOffset>4621530</wp:posOffset>
                  </wp:positionH>
                  <wp:positionV relativeFrom="paragraph">
                    <wp:posOffset>55245</wp:posOffset>
                  </wp:positionV>
                  <wp:extent cx="519430" cy="514350"/>
                  <wp:effectExtent l="0" t="0" r="0" b="0"/>
                  <wp:wrapNone/>
                  <wp:docPr id="6" name="Image 6"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5F6E69" w14:textId="77777777" w:rsidR="006B4DF6" w:rsidRPr="004B39D3" w:rsidRDefault="006B4DF6" w:rsidP="002A223A">
            <w:pPr>
              <w:tabs>
                <w:tab w:val="left" w:pos="8202"/>
              </w:tabs>
              <w:autoSpaceDE w:val="0"/>
              <w:autoSpaceDN w:val="0"/>
              <w:adjustRightInd w:val="0"/>
              <w:spacing w:line="240" w:lineRule="atLeast"/>
              <w:ind w:left="348" w:right="1587"/>
              <w:jc w:val="right"/>
              <w:rPr>
                <w:rFonts w:ascii="Arial" w:hAnsi="Arial" w:cs="Arial"/>
                <w:sz w:val="18"/>
                <w:szCs w:val="18"/>
              </w:rPr>
            </w:pPr>
            <w:r w:rsidRPr="004B39D3">
              <w:rPr>
                <w:rFonts w:ascii="Arial" w:hAnsi="Arial" w:cs="Arial"/>
                <w:sz w:val="18"/>
                <w:szCs w:val="18"/>
              </w:rPr>
              <w:t xml:space="preserve">Coface SA. est coté sur le Compartiment A d’Euronext Paris </w:t>
            </w:r>
            <w:r>
              <w:rPr>
                <w:noProof/>
              </w:rPr>
              <w:drawing>
                <wp:anchor distT="0" distB="0" distL="114300" distR="114300" simplePos="0" relativeHeight="251662336" behindDoc="0" locked="0" layoutInCell="1" allowOverlap="1" wp14:anchorId="63069C95" wp14:editId="0FB1E283">
                  <wp:simplePos x="0" y="0"/>
                  <wp:positionH relativeFrom="column">
                    <wp:posOffset>6392545</wp:posOffset>
                  </wp:positionH>
                  <wp:positionV relativeFrom="paragraph">
                    <wp:posOffset>4538345</wp:posOffset>
                  </wp:positionV>
                  <wp:extent cx="520065" cy="514350"/>
                  <wp:effectExtent l="0" t="0" r="0" b="0"/>
                  <wp:wrapNone/>
                  <wp:docPr id="8" name="Image 8"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OFA-listed-emblems_blac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00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1B9A24" w14:textId="77777777" w:rsidR="006B4DF6" w:rsidRPr="00E11AEF" w:rsidRDefault="006B4DF6" w:rsidP="002A223A">
            <w:pPr>
              <w:autoSpaceDE w:val="0"/>
              <w:autoSpaceDN w:val="0"/>
              <w:adjustRightInd w:val="0"/>
              <w:spacing w:line="240" w:lineRule="atLeast"/>
              <w:ind w:right="1587"/>
              <w:jc w:val="right"/>
              <w:rPr>
                <w:rFonts w:ascii="Arial" w:hAnsi="Arial" w:cs="Arial"/>
                <w:sz w:val="18"/>
                <w:szCs w:val="18"/>
              </w:rPr>
            </w:pPr>
            <w:r w:rsidRPr="00E11AEF">
              <w:rPr>
                <w:rFonts w:ascii="Arial" w:hAnsi="Arial" w:cs="Arial"/>
                <w:sz w:val="18"/>
                <w:szCs w:val="18"/>
              </w:rPr>
              <w:t>Code ISIN : FR0010667147 / Mnémonique : COFA</w:t>
            </w:r>
          </w:p>
          <w:p w14:paraId="78F55BC6" w14:textId="77777777" w:rsidR="006B4DF6" w:rsidRPr="00E11AEF" w:rsidRDefault="006B4DF6" w:rsidP="002A223A">
            <w:pPr>
              <w:spacing w:before="60" w:after="60"/>
              <w:ind w:right="113"/>
              <w:jc w:val="center"/>
              <w:rPr>
                <w:rFonts w:ascii="Arial" w:hAnsi="Arial" w:cs="Arial"/>
                <w:sz w:val="18"/>
                <w:szCs w:val="18"/>
                <w:u w:val="single"/>
              </w:rPr>
            </w:pPr>
          </w:p>
        </w:tc>
      </w:tr>
    </w:tbl>
    <w:p w14:paraId="428659C8" w14:textId="77777777" w:rsidR="00A22EFC" w:rsidRDefault="00A22EFC" w:rsidP="00BD52B5">
      <w:pPr>
        <w:spacing w:line="270" w:lineRule="exact"/>
        <w:jc w:val="both"/>
        <w:rPr>
          <w:rFonts w:ascii="Arial" w:hAnsi="Arial" w:cs="Arial"/>
          <w:i/>
          <w:sz w:val="20"/>
          <w:szCs w:val="20"/>
        </w:rPr>
      </w:pPr>
    </w:p>
    <w:sectPr w:rsidR="00A22EFC" w:rsidSect="006E5807">
      <w:headerReference w:type="default" r:id="rId13"/>
      <w:headerReference w:type="first" r:id="rId14"/>
      <w:footerReference w:type="first" r:id="rId15"/>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66E1B" w14:textId="77777777" w:rsidR="00786712" w:rsidRDefault="00786712" w:rsidP="00D67F85">
      <w:r>
        <w:separator/>
      </w:r>
    </w:p>
  </w:endnote>
  <w:endnote w:type="continuationSeparator" w:id="0">
    <w:p w14:paraId="19E1E097" w14:textId="77777777" w:rsidR="00786712" w:rsidRDefault="00786712"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E7BD8" w14:textId="77777777" w:rsidR="00FB4A54" w:rsidRPr="000F6882" w:rsidRDefault="00FB4A54" w:rsidP="00422B4C">
    <w:pPr>
      <w:pStyle w:val="Pieddepage"/>
      <w:spacing w:line="180" w:lineRule="exact"/>
      <w:rPr>
        <w:color w:val="17274B"/>
        <w:sz w:val="14"/>
        <w:szCs w:val="14"/>
      </w:rPr>
    </w:pP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POSTAL ADDRESS</w:instrText>
    </w:r>
    <w:r>
      <w:rPr>
        <w:rFonts w:hint="eastAsia"/>
        <w:color w:val="17274B"/>
        <w:sz w:val="14"/>
        <w:szCs w:val="14"/>
      </w:rPr>
      <w:instrText xml:space="preserve"> </w:instrText>
    </w:r>
    <w:r>
      <w:rPr>
        <w:rFonts w:hint="eastAsia"/>
        <w:color w:val="17274B"/>
        <w:sz w:val="14"/>
        <w:szCs w:val="14"/>
      </w:rPr>
      <w:fldChar w:fldCharType="end"/>
    </w:r>
  </w:p>
  <w:p w14:paraId="2621B0FD" w14:textId="77777777" w:rsidR="00FB4A54" w:rsidRPr="000F6882" w:rsidRDefault="00FB4A54" w:rsidP="00422B4C">
    <w:pPr>
      <w:pStyle w:val="Pieddepage"/>
      <w:spacing w:line="180" w:lineRule="exact"/>
      <w:rPr>
        <w:color w:val="17274B"/>
        <w:sz w:val="14"/>
        <w:szCs w:val="14"/>
      </w:rPr>
    </w:pPr>
    <w:r w:rsidRPr="000F6882">
      <w:rPr>
        <w:color w:val="17274B"/>
        <w:sz w:val="14"/>
        <w:szCs w:val="14"/>
      </w:rPr>
      <w:t>12 COURS MICHELET - LA DÉFENSE 10 - 92800 PUTEAUX - FRANCE</w:t>
    </w:r>
  </w:p>
  <w:p w14:paraId="758F9121" w14:textId="77777777" w:rsidR="00FB4A54" w:rsidRPr="000F6882" w:rsidRDefault="00FB4A54" w:rsidP="00422B4C">
    <w:pPr>
      <w:pStyle w:val="Pieddepage"/>
      <w:spacing w:line="180" w:lineRule="exact"/>
      <w:rPr>
        <w:color w:val="17274B"/>
        <w:sz w:val="14"/>
        <w:szCs w:val="14"/>
      </w:rPr>
    </w:pPr>
    <w:r w:rsidRPr="000F6882">
      <w:rPr>
        <w:color w:val="17274B"/>
        <w:sz w:val="14"/>
        <w:szCs w:val="14"/>
      </w:rPr>
      <w:t xml:space="preserve">T.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 xml:space="preserve">MACROBUTTON Remplir +33 (0)1 00 00 00 00 </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M.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(0)6 00 00 00 00</w:instrText>
    </w:r>
    <w:r>
      <w:rPr>
        <w:rFonts w:hint="eastAsia"/>
        <w:color w:val="17274B"/>
        <w:sz w:val="14"/>
        <w:szCs w:val="14"/>
      </w:rPr>
      <w:instrText xml:space="preserve"> </w:instrText>
    </w:r>
    <w:r>
      <w:rPr>
        <w:rFonts w:hint="eastAsia"/>
        <w:color w:val="17274B"/>
        <w:sz w:val="14"/>
        <w:szCs w:val="14"/>
      </w:rPr>
      <w:fldChar w:fldCharType="end"/>
    </w:r>
    <w:r w:rsidRPr="000F6882">
      <w:rPr>
        <w:color w:val="17274B"/>
        <w:sz w:val="14"/>
        <w:szCs w:val="14"/>
      </w:rPr>
      <w:t xml:space="preserve"> - F. </w:t>
    </w:r>
    <w:r>
      <w:rPr>
        <w:rFonts w:hint="eastAsia"/>
        <w:color w:val="17274B"/>
        <w:sz w:val="14"/>
        <w:szCs w:val="14"/>
      </w:rPr>
      <w:fldChar w:fldCharType="begin"/>
    </w:r>
    <w:r>
      <w:rPr>
        <w:rFonts w:hint="eastAsia"/>
        <w:color w:val="17274B"/>
        <w:sz w:val="14"/>
        <w:szCs w:val="14"/>
      </w:rPr>
      <w:instrText xml:space="preserve"> </w:instrText>
    </w:r>
    <w:r>
      <w:rPr>
        <w:color w:val="17274B"/>
        <w:sz w:val="14"/>
        <w:szCs w:val="14"/>
      </w:rPr>
      <w:instrText>MACROBUTTON Remplir +33 (0)1 00 00 00 00</w:instrText>
    </w:r>
    <w:r>
      <w:rPr>
        <w:rFonts w:hint="eastAsia"/>
        <w:color w:val="17274B"/>
        <w:sz w:val="14"/>
        <w:szCs w:val="14"/>
      </w:rPr>
      <w:instrText xml:space="preserve"> </w:instrText>
    </w:r>
    <w:r>
      <w:rPr>
        <w:rFonts w:hint="eastAsia"/>
        <w:color w:val="17274B"/>
        <w:sz w:val="14"/>
        <w:szCs w:val="14"/>
      </w:rPr>
      <w:fldChar w:fldCharType="end"/>
    </w:r>
  </w:p>
  <w:p w14:paraId="1FBF9A2C" w14:textId="77777777" w:rsidR="00FB4A54" w:rsidRPr="000F6882" w:rsidRDefault="00FB4A54" w:rsidP="00422B4C">
    <w:pPr>
      <w:pStyle w:val="Pieddepage"/>
      <w:spacing w:line="180" w:lineRule="exact"/>
      <w:rPr>
        <w:color w:val="17274B"/>
        <w:sz w:val="14"/>
        <w:szCs w:val="14"/>
      </w:rPr>
    </w:pPr>
    <w:r w:rsidRPr="000F6882">
      <w:rPr>
        <w:color w:val="17274B"/>
        <w:sz w:val="14"/>
        <w:szCs w:val="14"/>
      </w:rPr>
      <w:t>www.coface.fr</w:t>
    </w:r>
  </w:p>
  <w:p w14:paraId="148A5524" w14:textId="77777777" w:rsidR="00FB4A54" w:rsidRPr="000F6882" w:rsidRDefault="00FB4A54" w:rsidP="00422B4C">
    <w:pPr>
      <w:pStyle w:val="Pieddepage"/>
      <w:spacing w:line="180" w:lineRule="exact"/>
      <w:rPr>
        <w:color w:val="17274B"/>
        <w:sz w:val="12"/>
        <w:szCs w:val="12"/>
      </w:rPr>
    </w:pPr>
    <w:r w:rsidRPr="000F6882">
      <w:rPr>
        <w:color w:val="17274B"/>
        <w:sz w:val="12"/>
        <w:szCs w:val="12"/>
      </w:rPr>
      <w:t xml:space="preserve">COMPAGNIE FRANÇAISE D’ASSURANCE POUR LE COMMERCE EXTÉRIEUR </w:t>
    </w:r>
  </w:p>
  <w:p w14:paraId="19F100AD" w14:textId="77777777" w:rsidR="00FB4A54" w:rsidRPr="000F6882" w:rsidRDefault="00FB4A54" w:rsidP="000F6882">
    <w:pPr>
      <w:pStyle w:val="Pieddepage"/>
      <w:spacing w:line="180" w:lineRule="exact"/>
      <w:rPr>
        <w:color w:val="17274B"/>
        <w:sz w:val="12"/>
        <w:szCs w:val="12"/>
      </w:rPr>
    </w:pPr>
    <w:r w:rsidRPr="000F6882">
      <w:rPr>
        <w:color w:val="17274B"/>
        <w:sz w:val="12"/>
        <w:szCs w:val="12"/>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6F22B7" w14:textId="77777777" w:rsidR="00786712" w:rsidRDefault="00786712" w:rsidP="00D67F85">
      <w:r>
        <w:separator/>
      </w:r>
    </w:p>
  </w:footnote>
  <w:footnote w:type="continuationSeparator" w:id="0">
    <w:p w14:paraId="17F527DD" w14:textId="77777777" w:rsidR="00786712" w:rsidRDefault="00786712"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8D973" w14:textId="77777777" w:rsidR="00FB4A54" w:rsidRDefault="00FB4A54">
    <w:pPr>
      <w:pStyle w:val="En-tte"/>
    </w:pPr>
    <w:r>
      <w:rPr>
        <w:noProof/>
      </w:rPr>
      <w:drawing>
        <wp:anchor distT="0" distB="0" distL="114300" distR="114300" simplePos="0" relativeHeight="251655680" behindDoc="1" locked="0" layoutInCell="1" allowOverlap="1" wp14:anchorId="2C34CEA3" wp14:editId="00E819C3">
          <wp:simplePos x="0" y="0"/>
          <wp:positionH relativeFrom="column">
            <wp:posOffset>-458470</wp:posOffset>
          </wp:positionH>
          <wp:positionV relativeFrom="page">
            <wp:posOffset>585470</wp:posOffset>
          </wp:positionV>
          <wp:extent cx="5762625" cy="1316355"/>
          <wp:effectExtent l="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14:anchorId="6330F972" wp14:editId="68DE7FAD">
              <wp:simplePos x="0" y="0"/>
              <wp:positionH relativeFrom="column">
                <wp:posOffset>-1270</wp:posOffset>
              </wp:positionH>
              <wp:positionV relativeFrom="page">
                <wp:posOffset>1427480</wp:posOffset>
              </wp:positionV>
              <wp:extent cx="5755640" cy="330835"/>
              <wp:effectExtent l="0" t="0" r="16510" b="1206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5640" cy="3308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AFE3AE0" w14:textId="77777777" w:rsidR="00FB4A54" w:rsidRPr="00C0461B" w:rsidRDefault="00FB4A54"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wps:txbx>
                    <wps:bodyPr rot="0" spcFirstLastPara="0" vertOverflow="overflow" horzOverflow="overflow" vert="horz" wrap="square" lIns="0" tIns="4572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3" o:spid="_x0000_s1030" type="#_x0000_t202" style="position:absolute;margin-left:-.1pt;margin-top:112.4pt;width:453.2pt;height:2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s1iQIAAOcEAAAOAAAAZHJzL2Uyb0RvYy54bWysVN9vmzAQfp+0/8HyOwUSCCkqqUgQ06So&#10;rdROlfbmGJOgge3ZTqGr9r/vbELTdXua9uIcd9/9vi9X10PXoiemdCN4hsOLACPGqagavs/wl4fS&#10;W2KkDeEVaQVnGX5mGl+vPn646mXKZuIg2oopBEG4TnuZ4YMxMvV9TQ+sI/pCSMbBWAvVEQOfau9X&#10;ivQQvWv9WRAs/F6oSipBmdagLUYjXrn4dc2oua1rzQxqMwy1Gfcq9+7s66+uSLpXRB4aeiqD/EMV&#10;HWk4JH0NVRBD0FE1f4TqGqqEFrW5oKLzRV03lLkeoJsweNfN/YFI5nqB4Wj5Oib9/8LSm6c7hZoq&#10;w3OMOOlgRV9hUahiyLDBMDS3I+qlTgF5LwFrhrUYYNWuXS23gn7TAPHfYEYHDWg7kqFWnf2FZhE4&#10;whaeXycPKRAFZZzE8SICEwXbfB4s57HN65+9pdLmExMdskKGFWzWVUCettqM0Alik3FRNm0LepK2&#10;/DcFxBw1zJ3H6E1SqAREi7Q1udW9lHk+WxTzwiuWl4kX7djMW5ZB5K3zKA43SVKGRfJzPKGz0yZO&#10;ZnkSX3qLPA69KAyWXp4HM68o8yAPonJzGa2dExQyJXXDG+dlx2iG3QClW3EnqmcYuhLj5WpJywYG&#10;sCXa3BEFpwozA/qZW3jqVvQZFicJo4NQP/6mt3i4ILBi1MPpZ1h/PxLFMGo/c7gtyxMnRNAKfKhJ&#10;u5sEfuw2AhgVArkldaLFmXYSayW6R2BmbjOBiXAK+TJsJnFjRhICsynLcwcCRkhitvxe0um+7Eof&#10;hkei5Gnv9ihvxEQMkr5b/4gd950fjagbdxvnSZ4OFdjkruvEfEvXt98Odf5/Wv0CAAD//wMAUEsD&#10;BBQABgAIAAAAIQCm2evb2gAAAAkBAAAPAAAAZHJzL2Rvd25yZXYueG1sTI/BTsMwEETvSPyDtUjc&#10;WocIpTTEqapUnAsFcXbiJYmw15HttOHvu5zguDOj2TfVbnFWnDHE0ZOCh3UGAqnzZqRewcf7y+oJ&#10;REyajLaeUMEPRtjVtzeVLo2/0BueT6kXXEKx1AqGlKZSytgN6HRc+wmJvS8fnE58hl6aoC9c7qzM&#10;s6yQTo/EHwY9YTNg932anYKxbdwhbOam+0T7epwNFSaQUvd3y/4ZRMIl/YXhF5/RoWam1s9korAK&#10;VjkHFeT5Iy9gf5sVrLSsbIotyLqS/xfUVwAAAP//AwBQSwECLQAUAAYACAAAACEAtoM4kv4AAADh&#10;AQAAEwAAAAAAAAAAAAAAAAAAAAAAW0NvbnRlbnRfVHlwZXNdLnhtbFBLAQItABQABgAIAAAAIQA4&#10;/SH/1gAAAJQBAAALAAAAAAAAAAAAAAAAAC8BAABfcmVscy8ucmVsc1BLAQItABQABgAIAAAAIQBF&#10;ebs1iQIAAOcEAAAOAAAAAAAAAAAAAAAAAC4CAABkcnMvZTJvRG9jLnhtbFBLAQItABQABgAIAAAA&#10;IQCm2evb2gAAAAkBAAAPAAAAAAAAAAAAAAAAAOMEAABkcnMvZG93bnJldi54bWxQSwUGAAAAAAQA&#10;BADzAAAA6gUAAAAA&#10;" filled="f" stroked="f">
              <v:path arrowok="t"/>
              <v:textbox inset="0,,0,0">
                <w:txbxContent>
                  <w:p w14:paraId="5AFE3AE0" w14:textId="77777777" w:rsidR="00FB4A54" w:rsidRPr="00C0461B" w:rsidRDefault="00FB4A54" w:rsidP="009A4ED6">
                    <w:pPr>
                      <w:spacing w:line="270" w:lineRule="exact"/>
                      <w:rPr>
                        <w:rFonts w:ascii="Arial" w:hAnsi="Arial" w:cs="Arial"/>
                        <w:b/>
                        <w:bCs/>
                        <w:color w:val="4FA76E"/>
                        <w:spacing w:val="260"/>
                        <w:sz w:val="26"/>
                        <w:szCs w:val="26"/>
                      </w:rPr>
                    </w:pPr>
                    <w:r w:rsidRPr="00C0461B">
                      <w:rPr>
                        <w:rFonts w:ascii="Arial" w:hAnsi="Arial" w:cs="Arial"/>
                        <w:b/>
                        <w:bCs/>
                        <w:color w:val="4FA76E"/>
                        <w:spacing w:val="260"/>
                        <w:sz w:val="26"/>
                        <w:szCs w:val="26"/>
                      </w:rPr>
                      <w:t>COMMUNIQUE DE PRESSE</w:t>
                    </w:r>
                  </w:p>
                </w:txbxContent>
              </v:textbox>
              <w10:wrap anchory="page"/>
            </v:shape>
          </w:pict>
        </mc:Fallback>
      </mc:AlternateContent>
    </w:r>
    <w:r>
      <w:rPr>
        <w:noProof/>
      </w:rPr>
      <mc:AlternateContent>
        <mc:Choice Requires="wps">
          <w:drawing>
            <wp:anchor distT="4294967295" distB="4294967295" distL="114300" distR="114300" simplePos="0" relativeHeight="251656704" behindDoc="0" locked="0" layoutInCell="1" allowOverlap="1" wp14:anchorId="3AD4FF6B" wp14:editId="1857711C">
              <wp:simplePos x="0" y="0"/>
              <wp:positionH relativeFrom="page">
                <wp:posOffset>107950</wp:posOffset>
              </wp:positionH>
              <wp:positionV relativeFrom="page">
                <wp:posOffset>3564254</wp:posOffset>
              </wp:positionV>
              <wp:extent cx="107950" cy="0"/>
              <wp:effectExtent l="0" t="0" r="25400" b="19050"/>
              <wp:wrapNone/>
              <wp:docPr id="25" name="Connecteur droit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Connecteur droit 25"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E599F5" w14:textId="77777777" w:rsidR="00FB4A54" w:rsidRDefault="00FB4A54">
    <w:pPr>
      <w:pStyle w:val="En-tte"/>
    </w:pPr>
    <w:r>
      <w:rPr>
        <w:noProof/>
      </w:rPr>
      <w:drawing>
        <wp:anchor distT="0" distB="0" distL="114300" distR="114300" simplePos="0" relativeHeight="251658752" behindDoc="1" locked="0" layoutInCell="1" allowOverlap="1" wp14:anchorId="6D9AEC5A" wp14:editId="6B6A26D6">
          <wp:simplePos x="0" y="0"/>
          <wp:positionH relativeFrom="column">
            <wp:posOffset>1450340</wp:posOffset>
          </wp:positionH>
          <wp:positionV relativeFrom="page">
            <wp:posOffset>617220</wp:posOffset>
          </wp:positionV>
          <wp:extent cx="1907540" cy="463550"/>
          <wp:effectExtent l="0" t="0" r="0" b="0"/>
          <wp:wrapNone/>
          <wp:docPr id="2"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300" distR="114300" simplePos="0" relativeHeight="251657728" behindDoc="0" locked="0" layoutInCell="1" allowOverlap="1" wp14:anchorId="6260E08B" wp14:editId="399317A0">
              <wp:simplePos x="0" y="0"/>
              <wp:positionH relativeFrom="page">
                <wp:posOffset>107950</wp:posOffset>
              </wp:positionH>
              <wp:positionV relativeFrom="page">
                <wp:posOffset>3562349</wp:posOffset>
              </wp:positionV>
              <wp:extent cx="107950" cy="0"/>
              <wp:effectExtent l="0" t="0" r="25400" b="1905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7950" cy="0"/>
                      </a:xfrm>
                      <a:prstGeom prst="line">
                        <a:avLst/>
                      </a:prstGeom>
                      <a:noFill/>
                      <a:ln w="3810" cap="flat" cmpd="sng" algn="ctr">
                        <a:solidFill>
                          <a:srgbClr val="17274B"/>
                        </a:solidFill>
                        <a:prstDash val="solid"/>
                      </a:ln>
                      <a:effectLst/>
                    </wps:spPr>
                    <wps:bodyPr/>
                  </wps:wsp>
                </a:graphicData>
              </a:graphic>
              <wp14:sizeRelH relativeFrom="margin">
                <wp14:pctWidth>0</wp14:pctWidth>
              </wp14:sizeRelH>
              <wp14:sizeRelV relativeFrom="page">
                <wp14:pctHeight>0</wp14:pctHeight>
              </wp14:sizeRelV>
            </wp:anchor>
          </w:drawing>
        </mc:Choice>
        <mc:Fallback xmlns:mv="urn:schemas-microsoft-com:mac:vml" xmlns:mo="http://schemas.microsoft.com/office/mac/office/2008/main">
          <w:pict>
            <v:line id="Connecteur droit 29"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30760A0"/>
    <w:multiLevelType w:val="hybridMultilevel"/>
    <w:tmpl w:val="777AEB88"/>
    <w:lvl w:ilvl="0" w:tplc="76DA2EAA">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DE52BAC"/>
    <w:multiLevelType w:val="hybridMultilevel"/>
    <w:tmpl w:val="33A0F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EBE4CB5"/>
    <w:multiLevelType w:val="hybridMultilevel"/>
    <w:tmpl w:val="E1A07A1A"/>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F696D5D"/>
    <w:multiLevelType w:val="hybridMultilevel"/>
    <w:tmpl w:val="D4788DAA"/>
    <w:lvl w:ilvl="0" w:tplc="8DA2EBD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54"/>
    <w:rsid w:val="000456AB"/>
    <w:rsid w:val="0005619B"/>
    <w:rsid w:val="00087554"/>
    <w:rsid w:val="000A43F7"/>
    <w:rsid w:val="000D6157"/>
    <w:rsid w:val="000E33E9"/>
    <w:rsid w:val="000F6882"/>
    <w:rsid w:val="00147F22"/>
    <w:rsid w:val="00154204"/>
    <w:rsid w:val="00163E12"/>
    <w:rsid w:val="00193619"/>
    <w:rsid w:val="001B3418"/>
    <w:rsid w:val="002202C8"/>
    <w:rsid w:val="00280CF0"/>
    <w:rsid w:val="002A482E"/>
    <w:rsid w:val="002B1C54"/>
    <w:rsid w:val="002F3565"/>
    <w:rsid w:val="002F3AAE"/>
    <w:rsid w:val="00301D34"/>
    <w:rsid w:val="00303DE2"/>
    <w:rsid w:val="00310949"/>
    <w:rsid w:val="00311987"/>
    <w:rsid w:val="003A4A3F"/>
    <w:rsid w:val="003A6121"/>
    <w:rsid w:val="003B1C8C"/>
    <w:rsid w:val="003C1382"/>
    <w:rsid w:val="003C2A3A"/>
    <w:rsid w:val="003D1B32"/>
    <w:rsid w:val="003F1672"/>
    <w:rsid w:val="00422B4C"/>
    <w:rsid w:val="00425550"/>
    <w:rsid w:val="00436791"/>
    <w:rsid w:val="00480EB6"/>
    <w:rsid w:val="00487DCD"/>
    <w:rsid w:val="004A1371"/>
    <w:rsid w:val="004C1599"/>
    <w:rsid w:val="004D1BAE"/>
    <w:rsid w:val="00530831"/>
    <w:rsid w:val="00530F55"/>
    <w:rsid w:val="005549A9"/>
    <w:rsid w:val="005568D8"/>
    <w:rsid w:val="00570809"/>
    <w:rsid w:val="005B7C22"/>
    <w:rsid w:val="00607629"/>
    <w:rsid w:val="0061780A"/>
    <w:rsid w:val="00617F8A"/>
    <w:rsid w:val="006261A3"/>
    <w:rsid w:val="00644989"/>
    <w:rsid w:val="00691739"/>
    <w:rsid w:val="006B0B55"/>
    <w:rsid w:val="006B4DF6"/>
    <w:rsid w:val="006C08EF"/>
    <w:rsid w:val="006D00D5"/>
    <w:rsid w:val="006E5807"/>
    <w:rsid w:val="00721915"/>
    <w:rsid w:val="007278A5"/>
    <w:rsid w:val="007375D7"/>
    <w:rsid w:val="00743FF6"/>
    <w:rsid w:val="00756870"/>
    <w:rsid w:val="00786712"/>
    <w:rsid w:val="007871FB"/>
    <w:rsid w:val="00794772"/>
    <w:rsid w:val="007A3120"/>
    <w:rsid w:val="007C1A9C"/>
    <w:rsid w:val="007C4C65"/>
    <w:rsid w:val="007C5CB5"/>
    <w:rsid w:val="007C5CE9"/>
    <w:rsid w:val="007C7CF8"/>
    <w:rsid w:val="007E1D92"/>
    <w:rsid w:val="008573C6"/>
    <w:rsid w:val="0087456A"/>
    <w:rsid w:val="008A1C7F"/>
    <w:rsid w:val="008D004C"/>
    <w:rsid w:val="008F3D42"/>
    <w:rsid w:val="0091032A"/>
    <w:rsid w:val="009569DF"/>
    <w:rsid w:val="00981AAA"/>
    <w:rsid w:val="009A0080"/>
    <w:rsid w:val="009A0E8E"/>
    <w:rsid w:val="009A4ED6"/>
    <w:rsid w:val="009A5498"/>
    <w:rsid w:val="00A04F97"/>
    <w:rsid w:val="00A22EFC"/>
    <w:rsid w:val="00A27AEF"/>
    <w:rsid w:val="00A31F26"/>
    <w:rsid w:val="00A37B30"/>
    <w:rsid w:val="00A81EB0"/>
    <w:rsid w:val="00A83532"/>
    <w:rsid w:val="00A86906"/>
    <w:rsid w:val="00A876FD"/>
    <w:rsid w:val="00AB3A55"/>
    <w:rsid w:val="00AC14B0"/>
    <w:rsid w:val="00AE195D"/>
    <w:rsid w:val="00B05E53"/>
    <w:rsid w:val="00B621AC"/>
    <w:rsid w:val="00B64B26"/>
    <w:rsid w:val="00B7622A"/>
    <w:rsid w:val="00B81D39"/>
    <w:rsid w:val="00BA207A"/>
    <w:rsid w:val="00BB7873"/>
    <w:rsid w:val="00BC4E3D"/>
    <w:rsid w:val="00BC5637"/>
    <w:rsid w:val="00BD52B5"/>
    <w:rsid w:val="00BD5ED4"/>
    <w:rsid w:val="00BE36E2"/>
    <w:rsid w:val="00BE769C"/>
    <w:rsid w:val="00BF6EF9"/>
    <w:rsid w:val="00C015D3"/>
    <w:rsid w:val="00C03E36"/>
    <w:rsid w:val="00C0461B"/>
    <w:rsid w:val="00C432B1"/>
    <w:rsid w:val="00C87BE6"/>
    <w:rsid w:val="00CF2DC5"/>
    <w:rsid w:val="00D01CFC"/>
    <w:rsid w:val="00D14635"/>
    <w:rsid w:val="00D16A75"/>
    <w:rsid w:val="00D47637"/>
    <w:rsid w:val="00D67F85"/>
    <w:rsid w:val="00D71409"/>
    <w:rsid w:val="00D721D6"/>
    <w:rsid w:val="00D97793"/>
    <w:rsid w:val="00DA6FF6"/>
    <w:rsid w:val="00DB631B"/>
    <w:rsid w:val="00DC0580"/>
    <w:rsid w:val="00DE13F5"/>
    <w:rsid w:val="00DF7700"/>
    <w:rsid w:val="00E06127"/>
    <w:rsid w:val="00E31709"/>
    <w:rsid w:val="00E32BEE"/>
    <w:rsid w:val="00E5730E"/>
    <w:rsid w:val="00E66218"/>
    <w:rsid w:val="00EA4637"/>
    <w:rsid w:val="00F13D0B"/>
    <w:rsid w:val="00F368F9"/>
    <w:rsid w:val="00F56280"/>
    <w:rsid w:val="00F61EE1"/>
    <w:rsid w:val="00FB4A54"/>
    <w:rsid w:val="00FE55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4F03C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F85"/>
    <w:pPr>
      <w:tabs>
        <w:tab w:val="center" w:pos="4536"/>
        <w:tab w:val="right" w:pos="9072"/>
      </w:tabs>
    </w:pPr>
  </w:style>
  <w:style w:type="character" w:customStyle="1" w:styleId="En-tteCar">
    <w:name w:val="En-tête Car"/>
    <w:basedOn w:val="Policepardfaut"/>
    <w:link w:val="En-tte"/>
    <w:uiPriority w:val="99"/>
    <w:rsid w:val="00D67F85"/>
  </w:style>
  <w:style w:type="paragraph" w:styleId="Pieddepage">
    <w:name w:val="footer"/>
    <w:basedOn w:val="Normal"/>
    <w:link w:val="PieddepageCar"/>
    <w:uiPriority w:val="99"/>
    <w:unhideWhenUsed/>
    <w:rsid w:val="00D67F85"/>
    <w:pPr>
      <w:tabs>
        <w:tab w:val="center" w:pos="4536"/>
        <w:tab w:val="right" w:pos="9072"/>
      </w:tabs>
    </w:pPr>
  </w:style>
  <w:style w:type="character" w:customStyle="1" w:styleId="PieddepageCar">
    <w:name w:val="Pied de page Car"/>
    <w:basedOn w:val="Policepardfaut"/>
    <w:link w:val="Pieddepage"/>
    <w:uiPriority w:val="99"/>
    <w:rsid w:val="00D67F85"/>
  </w:style>
  <w:style w:type="paragraph" w:styleId="Textedebulles">
    <w:name w:val="Balloon Text"/>
    <w:basedOn w:val="Normal"/>
    <w:link w:val="TextedebullesCar"/>
    <w:uiPriority w:val="99"/>
    <w:semiHidden/>
    <w:unhideWhenUsed/>
    <w:rsid w:val="00D67F85"/>
    <w:rPr>
      <w:rFonts w:ascii="Lucida Grande" w:hAnsi="Lucida Grande" w:cs="Lucida Grande"/>
      <w:sz w:val="18"/>
      <w:szCs w:val="18"/>
    </w:rPr>
  </w:style>
  <w:style w:type="character" w:customStyle="1" w:styleId="TextedebullesCar">
    <w:name w:val="Texte de bulles Car"/>
    <w:link w:val="Textedebulles"/>
    <w:uiPriority w:val="99"/>
    <w:semiHidden/>
    <w:rsid w:val="00D67F85"/>
    <w:rPr>
      <w:rFonts w:ascii="Lucida Grande" w:hAnsi="Lucida Grande" w:cs="Lucida Grande"/>
      <w:sz w:val="18"/>
      <w:szCs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Grilledutableau">
    <w:name w:val="Table Grid"/>
    <w:basedOn w:val="Tableau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Notedebasdepage">
    <w:name w:val="footnote text"/>
    <w:basedOn w:val="Normal"/>
    <w:link w:val="NotedebasdepageCar"/>
    <w:uiPriority w:val="99"/>
    <w:semiHidden/>
    <w:unhideWhenUsed/>
    <w:rsid w:val="002A482E"/>
    <w:rPr>
      <w:sz w:val="20"/>
      <w:szCs w:val="20"/>
    </w:rPr>
  </w:style>
  <w:style w:type="character" w:customStyle="1" w:styleId="NotedebasdepageCar">
    <w:name w:val="Note de bas de page Car"/>
    <w:basedOn w:val="Policepardfaut"/>
    <w:link w:val="Notedebasdepage"/>
    <w:uiPriority w:val="99"/>
    <w:semiHidden/>
    <w:rsid w:val="002A482E"/>
  </w:style>
  <w:style w:type="character" w:styleId="Appelnotedebasdep">
    <w:name w:val="footnote reference"/>
    <w:basedOn w:val="Policepardfaut"/>
    <w:uiPriority w:val="99"/>
    <w:unhideWhenUsed/>
    <w:rsid w:val="002A482E"/>
    <w:rPr>
      <w:vertAlign w:val="superscript"/>
    </w:rPr>
  </w:style>
  <w:style w:type="paragraph" w:styleId="Paragraphedeliste">
    <w:name w:val="List Paragraph"/>
    <w:basedOn w:val="Normal"/>
    <w:uiPriority w:val="34"/>
    <w:qFormat/>
    <w:rsid w:val="00530831"/>
    <w:pPr>
      <w:ind w:left="720"/>
      <w:contextualSpacing/>
    </w:pPr>
  </w:style>
  <w:style w:type="paragraph" w:styleId="NormalWeb">
    <w:name w:val="Normal (Web)"/>
    <w:basedOn w:val="Normal"/>
    <w:uiPriority w:val="99"/>
    <w:semiHidden/>
    <w:unhideWhenUsed/>
    <w:rsid w:val="007375D7"/>
    <w:pPr>
      <w:spacing w:before="100" w:beforeAutospacing="1" w:after="100" w:afterAutospacing="1"/>
    </w:pPr>
    <w:rPr>
      <w:rFonts w:ascii="Times New Roman" w:eastAsiaTheme="minorEastAsia"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67F85"/>
    <w:pPr>
      <w:tabs>
        <w:tab w:val="center" w:pos="4536"/>
        <w:tab w:val="right" w:pos="9072"/>
      </w:tabs>
    </w:pPr>
  </w:style>
  <w:style w:type="character" w:customStyle="1" w:styleId="En-tteCar">
    <w:name w:val="En-tête Car"/>
    <w:basedOn w:val="Policepardfaut"/>
    <w:link w:val="En-tte"/>
    <w:uiPriority w:val="99"/>
    <w:rsid w:val="00D67F85"/>
  </w:style>
  <w:style w:type="paragraph" w:styleId="Pieddepage">
    <w:name w:val="footer"/>
    <w:basedOn w:val="Normal"/>
    <w:link w:val="PieddepageCar"/>
    <w:uiPriority w:val="99"/>
    <w:unhideWhenUsed/>
    <w:rsid w:val="00D67F85"/>
    <w:pPr>
      <w:tabs>
        <w:tab w:val="center" w:pos="4536"/>
        <w:tab w:val="right" w:pos="9072"/>
      </w:tabs>
    </w:pPr>
  </w:style>
  <w:style w:type="character" w:customStyle="1" w:styleId="PieddepageCar">
    <w:name w:val="Pied de page Car"/>
    <w:basedOn w:val="Policepardfaut"/>
    <w:link w:val="Pieddepage"/>
    <w:uiPriority w:val="99"/>
    <w:rsid w:val="00D67F85"/>
  </w:style>
  <w:style w:type="paragraph" w:styleId="Textedebulles">
    <w:name w:val="Balloon Text"/>
    <w:basedOn w:val="Normal"/>
    <w:link w:val="TextedebullesCar"/>
    <w:uiPriority w:val="99"/>
    <w:semiHidden/>
    <w:unhideWhenUsed/>
    <w:rsid w:val="00D67F85"/>
    <w:rPr>
      <w:rFonts w:ascii="Lucida Grande" w:hAnsi="Lucida Grande" w:cs="Lucida Grande"/>
      <w:sz w:val="18"/>
      <w:szCs w:val="18"/>
    </w:rPr>
  </w:style>
  <w:style w:type="character" w:customStyle="1" w:styleId="TextedebullesCar">
    <w:name w:val="Texte de bulles Car"/>
    <w:link w:val="Textedebulles"/>
    <w:uiPriority w:val="99"/>
    <w:semiHidden/>
    <w:rsid w:val="00D67F85"/>
    <w:rPr>
      <w:rFonts w:ascii="Lucida Grande" w:hAnsi="Lucida Grande" w:cs="Lucida Grande"/>
      <w:sz w:val="18"/>
      <w:szCs w:val="18"/>
    </w:rPr>
  </w:style>
  <w:style w:type="character" w:styleId="Lienhypertexte">
    <w:name w:val="Hyperlink"/>
    <w:basedOn w:val="Policepardfaut"/>
    <w:uiPriority w:val="99"/>
    <w:rsid w:val="00C0461B"/>
    <w:rPr>
      <w:rFonts w:cs="Times New Roman"/>
      <w:color w:val="0000FF"/>
      <w:u w:val="single"/>
    </w:rPr>
  </w:style>
  <w:style w:type="paragraph" w:customStyle="1" w:styleId="textecontact">
    <w:name w:val="textecontact"/>
    <w:basedOn w:val="Normal"/>
    <w:rsid w:val="00C0461B"/>
    <w:pPr>
      <w:spacing w:before="100" w:beforeAutospacing="1" w:after="100" w:afterAutospacing="1"/>
    </w:pPr>
    <w:rPr>
      <w:rFonts w:ascii="Times New Roman" w:eastAsia="Times New Roman" w:hAnsi="Times New Roman"/>
    </w:rPr>
  </w:style>
  <w:style w:type="table" w:styleId="Grilledutableau">
    <w:name w:val="Table Grid"/>
    <w:basedOn w:val="TableauNormal"/>
    <w:rsid w:val="00C0461B"/>
    <w:pPr>
      <w:spacing w:line="24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rsid w:val="00C0461B"/>
    <w:pPr>
      <w:framePr w:w="10206" w:h="57" w:wrap="notBeside" w:vAnchor="page" w:hAnchor="page" w:x="852" w:y="12245"/>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rsid w:val="00C0461B"/>
    <w:pPr>
      <w:framePr w:wrap="notBeside" w:y="12192" w:anchorLock="1"/>
      <w:spacing w:before="0" w:after="0"/>
      <w:ind w:left="0" w:right="0"/>
    </w:pPr>
    <w:rPr>
      <w:b/>
      <w:color w:val="000000"/>
    </w:rPr>
  </w:style>
  <w:style w:type="paragraph" w:styleId="Notedebasdepage">
    <w:name w:val="footnote text"/>
    <w:basedOn w:val="Normal"/>
    <w:link w:val="NotedebasdepageCar"/>
    <w:uiPriority w:val="99"/>
    <w:semiHidden/>
    <w:unhideWhenUsed/>
    <w:rsid w:val="002A482E"/>
    <w:rPr>
      <w:sz w:val="20"/>
      <w:szCs w:val="20"/>
    </w:rPr>
  </w:style>
  <w:style w:type="character" w:customStyle="1" w:styleId="NotedebasdepageCar">
    <w:name w:val="Note de bas de page Car"/>
    <w:basedOn w:val="Policepardfaut"/>
    <w:link w:val="Notedebasdepage"/>
    <w:uiPriority w:val="99"/>
    <w:semiHidden/>
    <w:rsid w:val="002A482E"/>
  </w:style>
  <w:style w:type="character" w:styleId="Appelnotedebasdep">
    <w:name w:val="footnote reference"/>
    <w:basedOn w:val="Policepardfaut"/>
    <w:uiPriority w:val="99"/>
    <w:unhideWhenUsed/>
    <w:rsid w:val="002A482E"/>
    <w:rPr>
      <w:vertAlign w:val="superscript"/>
    </w:rPr>
  </w:style>
  <w:style w:type="paragraph" w:styleId="Paragraphedeliste">
    <w:name w:val="List Paragraph"/>
    <w:basedOn w:val="Normal"/>
    <w:uiPriority w:val="34"/>
    <w:qFormat/>
    <w:rsid w:val="00530831"/>
    <w:pPr>
      <w:ind w:left="720"/>
      <w:contextualSpacing/>
    </w:pPr>
  </w:style>
  <w:style w:type="paragraph" w:styleId="NormalWeb">
    <w:name w:val="Normal (Web)"/>
    <w:basedOn w:val="Normal"/>
    <w:uiPriority w:val="99"/>
    <w:semiHidden/>
    <w:unhideWhenUsed/>
    <w:rsid w:val="007375D7"/>
    <w:pPr>
      <w:spacing w:before="100" w:beforeAutospacing="1" w:after="100" w:afterAutospacing="1"/>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ustine.lansac@coface.com" TargetMode="External"/><Relationship Id="rId4" Type="http://schemas.microsoft.com/office/2007/relationships/stylesWithEffects" Target="stylesWithEffects.xml"/><Relationship Id="rId9" Type="http://schemas.openxmlformats.org/officeDocument/2006/relationships/hyperlink" Target="mailto:maria.krellenstein@coface.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B5CA4-F6B4-4326-B34F-F7B93D367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940</Words>
  <Characters>5173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COFACE</Company>
  <LinksUpToDate>false</LinksUpToDate>
  <CharactersWithSpaces>6101</CharactersWithSpaces>
  <SharedDoc>false</SharedDoc>
  <HLinks>
    <vt:vector size="6" baseType="variant">
      <vt:variant>
        <vt:i4>1114205</vt:i4>
      </vt:variant>
      <vt:variant>
        <vt:i4>0</vt:i4>
      </vt:variant>
      <vt:variant>
        <vt:i4>0</vt:i4>
      </vt:variant>
      <vt:variant>
        <vt:i4>5</vt:i4>
      </vt:variant>
      <vt:variant>
        <vt:lpwstr>http://www.coface.fr/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KRELLENSTEIN Maria</dc:creator>
  <cp:lastModifiedBy>LANSAC Justine</cp:lastModifiedBy>
  <cp:revision>6</cp:revision>
  <cp:lastPrinted>2014-12-11T17:10:00Z</cp:lastPrinted>
  <dcterms:created xsi:type="dcterms:W3CDTF">2014-12-11T13:07:00Z</dcterms:created>
  <dcterms:modified xsi:type="dcterms:W3CDTF">2014-12-11T17:10:00Z</dcterms:modified>
</cp:coreProperties>
</file>